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5C" w:rsidRPr="00BA3B01" w:rsidRDefault="00BA3B01">
      <w:pPr>
        <w:spacing w:after="0"/>
        <w:jc w:val="center"/>
        <w:rPr>
          <w:rFonts w:ascii="Times New Roman" w:hAnsi="Times New Roman" w:cs="Times New Roman"/>
          <w:b/>
          <w:color w:val="000000"/>
          <w:sz w:val="28"/>
          <w:szCs w:val="28"/>
        </w:rPr>
      </w:pPr>
      <w:r w:rsidRPr="00BA3B01">
        <w:rPr>
          <w:rFonts w:ascii="Times New Roman" w:hAnsi="Times New Roman" w:cs="Times New Roman"/>
          <w:b/>
          <w:color w:val="000000"/>
          <w:sz w:val="28"/>
          <w:szCs w:val="28"/>
        </w:rPr>
        <w:t>Mẫu số 03</w:t>
      </w:r>
    </w:p>
    <w:p w:rsidR="0030595C" w:rsidRDefault="00B506FC">
      <w:pPr>
        <w:spacing w:after="0"/>
        <w:jc w:val="center"/>
        <w:rPr>
          <w:rFonts w:ascii="Times New Roman" w:hAnsi="Times New Roman" w:cs="Times New Roman"/>
          <w:b/>
          <w:color w:val="000000"/>
          <w:sz w:val="28"/>
        </w:rPr>
      </w:pPr>
      <w:r>
        <w:rPr>
          <w:rFonts w:ascii="Times New Roman" w:hAnsi="Times New Roman" w:cs="Times New Roman"/>
          <w:b/>
          <w:color w:val="000000"/>
          <w:sz w:val="28"/>
        </w:rPr>
        <w:t xml:space="preserve">DANH MỤC </w:t>
      </w:r>
    </w:p>
    <w:p w:rsidR="0030595C" w:rsidRDefault="00B506FC">
      <w:pPr>
        <w:spacing w:after="0"/>
        <w:jc w:val="center"/>
        <w:rPr>
          <w:rFonts w:ascii="Times New Roman" w:hAnsi="Times New Roman" w:cs="Times New Roman"/>
          <w:b/>
          <w:color w:val="000000"/>
          <w:sz w:val="28"/>
        </w:rPr>
      </w:pPr>
      <w:r>
        <w:rPr>
          <w:rFonts w:ascii="Times New Roman" w:hAnsi="Times New Roman" w:cs="Times New Roman"/>
          <w:b/>
          <w:color w:val="000000"/>
          <w:sz w:val="28"/>
        </w:rPr>
        <w:t>Văn bản quy phạm pháp luật hết hiệu lực</w:t>
      </w:r>
      <w:r w:rsidR="00BA3B01">
        <w:rPr>
          <w:rFonts w:ascii="Times New Roman" w:hAnsi="Times New Roman" w:cs="Times New Roman"/>
          <w:b/>
          <w:color w:val="000000"/>
          <w:sz w:val="28"/>
        </w:rPr>
        <w:t>, ngưng hiệu lực toàn bộ</w:t>
      </w:r>
      <w:r>
        <w:rPr>
          <w:rFonts w:ascii="Times New Roman" w:hAnsi="Times New Roman" w:cs="Times New Roman"/>
          <w:b/>
          <w:color w:val="000000"/>
          <w:sz w:val="28"/>
        </w:rPr>
        <w:t xml:space="preserve"> thuộc lĩnh vực quản lý nhà nước </w:t>
      </w:r>
    </w:p>
    <w:p w:rsidR="0030595C" w:rsidRDefault="00B506FC">
      <w:pPr>
        <w:spacing w:after="0"/>
        <w:jc w:val="center"/>
        <w:rPr>
          <w:rFonts w:ascii="Times New Roman" w:hAnsi="Times New Roman" w:cs="Times New Roman"/>
          <w:b/>
          <w:i/>
          <w:color w:val="000000"/>
          <w:sz w:val="28"/>
        </w:rPr>
      </w:pPr>
      <w:r>
        <w:rPr>
          <w:rFonts w:ascii="Times New Roman" w:hAnsi="Times New Roman" w:cs="Times New Roman"/>
          <w:b/>
          <w:color w:val="000000"/>
          <w:sz w:val="28"/>
        </w:rPr>
        <w:t>của Hội đồng nhân dân, Ủy ban nhân dân thành phố Tây Ninh năm 2021</w:t>
      </w:r>
    </w:p>
    <w:p w:rsidR="0030595C" w:rsidRDefault="00666D29">
      <w:pPr>
        <w:jc w:val="center"/>
        <w:rPr>
          <w:i/>
          <w:color w:val="000000"/>
        </w:rPr>
      </w:pPr>
      <w:r>
        <w:rPr>
          <w:i/>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228.75pt;margin-top:2.45pt;width:196.5pt;height:0;z-index:251658240" o:connectortype="straight"/>
        </w:pict>
      </w:r>
    </w:p>
    <w:tbl>
      <w:tblPr>
        <w:tblStyle w:val="TableGrid"/>
        <w:tblW w:w="14668" w:type="dxa"/>
        <w:tblInd w:w="-700" w:type="dxa"/>
        <w:tblLook w:val="04A0"/>
      </w:tblPr>
      <w:tblGrid>
        <w:gridCol w:w="982"/>
        <w:gridCol w:w="1099"/>
        <w:gridCol w:w="3402"/>
        <w:gridCol w:w="5027"/>
        <w:gridCol w:w="2694"/>
        <w:gridCol w:w="1464"/>
      </w:tblGrid>
      <w:tr w:rsidR="0030595C" w:rsidTr="00CC5147">
        <w:trPr>
          <w:tblHeader/>
        </w:trPr>
        <w:tc>
          <w:tcPr>
            <w:tcW w:w="982" w:type="dxa"/>
          </w:tcPr>
          <w:p w:rsidR="0030595C" w:rsidRDefault="00B506FC">
            <w:pPr>
              <w:spacing w:before="120" w:after="120" w:line="240" w:lineRule="auto"/>
              <w:jc w:val="center"/>
              <w:rPr>
                <w:b/>
                <w:bCs/>
                <w:color w:val="000000"/>
                <w:sz w:val="26"/>
                <w:szCs w:val="26"/>
              </w:rPr>
            </w:pPr>
            <w:r>
              <w:rPr>
                <w:b/>
                <w:color w:val="000000"/>
                <w:sz w:val="26"/>
                <w:szCs w:val="26"/>
              </w:rPr>
              <w:t>STT</w:t>
            </w:r>
          </w:p>
        </w:tc>
        <w:tc>
          <w:tcPr>
            <w:tcW w:w="1099" w:type="dxa"/>
          </w:tcPr>
          <w:p w:rsidR="0030595C" w:rsidRDefault="00B506FC">
            <w:pPr>
              <w:spacing w:before="120" w:after="120" w:line="240" w:lineRule="auto"/>
              <w:jc w:val="center"/>
              <w:rPr>
                <w:b/>
                <w:bCs/>
                <w:color w:val="000000"/>
                <w:sz w:val="26"/>
                <w:szCs w:val="26"/>
              </w:rPr>
            </w:pPr>
            <w:r>
              <w:rPr>
                <w:b/>
                <w:color w:val="000000"/>
                <w:sz w:val="26"/>
                <w:szCs w:val="26"/>
              </w:rPr>
              <w:t>Tên loại văn bản</w:t>
            </w:r>
          </w:p>
        </w:tc>
        <w:tc>
          <w:tcPr>
            <w:tcW w:w="3402" w:type="dxa"/>
          </w:tcPr>
          <w:p w:rsidR="0030595C" w:rsidRDefault="00B506FC">
            <w:pPr>
              <w:spacing w:before="120" w:after="120" w:line="240" w:lineRule="auto"/>
              <w:jc w:val="center"/>
              <w:rPr>
                <w:b/>
                <w:bCs/>
                <w:color w:val="000000"/>
                <w:sz w:val="26"/>
                <w:szCs w:val="26"/>
              </w:rPr>
            </w:pPr>
            <w:r>
              <w:rPr>
                <w:b/>
                <w:color w:val="000000"/>
                <w:sz w:val="26"/>
                <w:szCs w:val="26"/>
              </w:rPr>
              <w:t>Số, ký hiệu; ngày, tháng, năm ban hành văn bản</w:t>
            </w:r>
          </w:p>
        </w:tc>
        <w:tc>
          <w:tcPr>
            <w:tcW w:w="5027" w:type="dxa"/>
          </w:tcPr>
          <w:p w:rsidR="0030595C" w:rsidRDefault="00B506FC">
            <w:pPr>
              <w:spacing w:before="120" w:after="120" w:line="240" w:lineRule="auto"/>
              <w:jc w:val="center"/>
              <w:rPr>
                <w:b/>
                <w:bCs/>
                <w:color w:val="000000"/>
                <w:sz w:val="26"/>
                <w:szCs w:val="26"/>
              </w:rPr>
            </w:pPr>
            <w:r>
              <w:rPr>
                <w:b/>
                <w:color w:val="000000"/>
                <w:sz w:val="26"/>
                <w:szCs w:val="26"/>
              </w:rPr>
              <w:t>Tên gọi của văn bản</w:t>
            </w:r>
          </w:p>
        </w:tc>
        <w:tc>
          <w:tcPr>
            <w:tcW w:w="2694" w:type="dxa"/>
          </w:tcPr>
          <w:p w:rsidR="0030595C" w:rsidRDefault="00B506FC">
            <w:pPr>
              <w:spacing w:before="120" w:after="120" w:line="240" w:lineRule="auto"/>
              <w:jc w:val="center"/>
              <w:rPr>
                <w:b/>
                <w:bCs/>
                <w:color w:val="000000"/>
                <w:sz w:val="26"/>
                <w:szCs w:val="26"/>
              </w:rPr>
            </w:pPr>
            <w:r>
              <w:rPr>
                <w:b/>
                <w:color w:val="000000"/>
                <w:sz w:val="26"/>
                <w:szCs w:val="26"/>
              </w:rPr>
              <w:t>Lý do hết hiệu lực</w:t>
            </w:r>
          </w:p>
        </w:tc>
        <w:tc>
          <w:tcPr>
            <w:tcW w:w="1464" w:type="dxa"/>
          </w:tcPr>
          <w:p w:rsidR="0030595C" w:rsidRDefault="00B506FC">
            <w:pPr>
              <w:spacing w:before="120" w:after="120" w:line="240" w:lineRule="auto"/>
              <w:jc w:val="center"/>
              <w:rPr>
                <w:b/>
                <w:bCs/>
                <w:color w:val="000000"/>
                <w:sz w:val="26"/>
                <w:szCs w:val="26"/>
              </w:rPr>
            </w:pPr>
            <w:r>
              <w:rPr>
                <w:b/>
                <w:color w:val="000000"/>
                <w:sz w:val="26"/>
                <w:szCs w:val="26"/>
              </w:rPr>
              <w:t>Ngày hết hiệu lực</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t>01</w:t>
            </w:r>
          </w:p>
        </w:tc>
        <w:tc>
          <w:tcPr>
            <w:tcW w:w="1099" w:type="dxa"/>
          </w:tcPr>
          <w:p w:rsidR="0030595C" w:rsidRDefault="00B506FC">
            <w:pPr>
              <w:spacing w:after="0" w:line="240" w:lineRule="auto"/>
              <w:jc w:val="center"/>
              <w:rPr>
                <w:color w:val="000000"/>
                <w:sz w:val="24"/>
                <w:szCs w:val="24"/>
              </w:rPr>
            </w:pPr>
            <w:r>
              <w:rPr>
                <w:color w:val="000000"/>
                <w:sz w:val="24"/>
                <w:szCs w:val="24"/>
              </w:rPr>
              <w:t>Nghị quyết</w:t>
            </w:r>
          </w:p>
        </w:tc>
        <w:tc>
          <w:tcPr>
            <w:tcW w:w="3402" w:type="dxa"/>
          </w:tcPr>
          <w:p w:rsidR="0030595C" w:rsidRDefault="00ED53B1">
            <w:pPr>
              <w:spacing w:after="0" w:line="240" w:lineRule="auto"/>
              <w:jc w:val="both"/>
              <w:rPr>
                <w:color w:val="000000" w:themeColor="text1"/>
                <w:sz w:val="24"/>
                <w:szCs w:val="24"/>
              </w:rPr>
            </w:pPr>
            <w:r>
              <w:rPr>
                <w:sz w:val="24"/>
                <w:szCs w:val="24"/>
              </w:rPr>
              <w:t>S</w:t>
            </w:r>
            <w:r w:rsidR="00B506FC">
              <w:rPr>
                <w:sz w:val="24"/>
                <w:szCs w:val="24"/>
              </w:rPr>
              <w:t>ố 04/2016/NQ-HĐND ngày 19 tháng 12 năm 2016</w:t>
            </w:r>
          </w:p>
        </w:tc>
        <w:tc>
          <w:tcPr>
            <w:tcW w:w="5027" w:type="dxa"/>
          </w:tcPr>
          <w:p w:rsidR="0030595C" w:rsidRDefault="00B506FC">
            <w:pPr>
              <w:widowControl w:val="0"/>
              <w:spacing w:before="80" w:after="0" w:line="240" w:lineRule="auto"/>
              <w:jc w:val="both"/>
              <w:rPr>
                <w:bCs/>
                <w:sz w:val="24"/>
                <w:szCs w:val="24"/>
                <w:lang w:eastAsia="vi-VN"/>
              </w:rPr>
            </w:pPr>
            <w:r>
              <w:rPr>
                <w:sz w:val="24"/>
                <w:szCs w:val="24"/>
              </w:rPr>
              <w:t xml:space="preserve"> Về </w:t>
            </w:r>
            <w:r>
              <w:rPr>
                <w:bCs/>
                <w:sz w:val="24"/>
                <w:szCs w:val="24"/>
                <w:lang w:eastAsia="vi-VN"/>
              </w:rPr>
              <w:t xml:space="preserve">Danh mục đầu tư công trung hạn 5 năm giai đoạn 2016-2020 nguồn vốn ngân sách tỉnh hỗ trợ có </w:t>
            </w:r>
            <w:r w:rsidR="009121F1">
              <w:rPr>
                <w:bCs/>
                <w:sz w:val="24"/>
                <w:szCs w:val="24"/>
                <w:lang w:eastAsia="vi-VN"/>
              </w:rPr>
              <w:t>mục tiêu và ngân sách thành phố</w:t>
            </w:r>
          </w:p>
          <w:p w:rsidR="0030595C" w:rsidRDefault="0030595C">
            <w:pPr>
              <w:spacing w:before="120" w:after="120" w:line="240" w:lineRule="auto"/>
              <w:jc w:val="center"/>
              <w:rPr>
                <w:color w:val="000000"/>
                <w:sz w:val="24"/>
                <w:szCs w:val="24"/>
              </w:rPr>
            </w:pPr>
          </w:p>
        </w:tc>
        <w:tc>
          <w:tcPr>
            <w:tcW w:w="2694" w:type="dxa"/>
          </w:tcPr>
          <w:p w:rsidR="0030595C" w:rsidRDefault="00B506FC">
            <w:pPr>
              <w:spacing w:after="0" w:line="240" w:lineRule="auto"/>
              <w:jc w:val="both"/>
              <w:rPr>
                <w:color w:val="000000" w:themeColor="text1"/>
                <w:sz w:val="24"/>
                <w:szCs w:val="24"/>
              </w:rPr>
            </w:pPr>
            <w:r>
              <w:rPr>
                <w:color w:val="000000" w:themeColor="text1"/>
                <w:sz w:val="24"/>
                <w:szCs w:val="24"/>
              </w:rPr>
              <w:t>Bị bãi bỏ bởi Nghị quyết số  01/2021/NQ-HĐND ngày 17   tháng 12 năm 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w:t>
            </w:r>
            <w:r w:rsidR="009121F1">
              <w:rPr>
                <w:color w:val="000000" w:themeColor="text1"/>
                <w:sz w:val="24"/>
                <w:szCs w:val="24"/>
              </w:rPr>
              <w:t>ốn ngân sách thành phố Tây Ninh</w:t>
            </w:r>
          </w:p>
          <w:p w:rsidR="0030595C" w:rsidRDefault="0030595C">
            <w:pPr>
              <w:spacing w:after="0" w:line="240" w:lineRule="auto"/>
              <w:jc w:val="both"/>
              <w:rPr>
                <w:color w:val="000000" w:themeColor="text1"/>
                <w:sz w:val="24"/>
                <w:szCs w:val="24"/>
              </w:rPr>
            </w:pPr>
          </w:p>
          <w:p w:rsidR="0030595C" w:rsidRDefault="0030595C">
            <w:pPr>
              <w:spacing w:after="0" w:line="240" w:lineRule="auto"/>
              <w:jc w:val="both"/>
              <w:rPr>
                <w:color w:val="000000" w:themeColor="text1"/>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t>24/12/2021</w:t>
            </w:r>
          </w:p>
        </w:tc>
      </w:tr>
      <w:tr w:rsidR="0030595C" w:rsidTr="00CC5147">
        <w:trPr>
          <w:trHeight w:val="90"/>
        </w:trPr>
        <w:tc>
          <w:tcPr>
            <w:tcW w:w="982" w:type="dxa"/>
          </w:tcPr>
          <w:p w:rsidR="0030595C" w:rsidRDefault="00B506FC">
            <w:pPr>
              <w:spacing w:after="0" w:line="240" w:lineRule="auto"/>
              <w:jc w:val="center"/>
              <w:rPr>
                <w:color w:val="000000"/>
                <w:sz w:val="24"/>
                <w:szCs w:val="24"/>
              </w:rPr>
            </w:pPr>
            <w:r>
              <w:rPr>
                <w:color w:val="000000"/>
                <w:sz w:val="24"/>
                <w:szCs w:val="24"/>
              </w:rPr>
              <w:t>02</w:t>
            </w:r>
          </w:p>
        </w:tc>
        <w:tc>
          <w:tcPr>
            <w:tcW w:w="1099" w:type="dxa"/>
          </w:tcPr>
          <w:p w:rsidR="0030595C" w:rsidRDefault="00B506FC" w:rsidP="00794813">
            <w:pPr>
              <w:spacing w:after="0" w:line="240" w:lineRule="auto"/>
              <w:jc w:val="center"/>
              <w:rPr>
                <w:color w:val="000000"/>
                <w:sz w:val="24"/>
                <w:szCs w:val="24"/>
              </w:rPr>
            </w:pPr>
            <w:r>
              <w:rPr>
                <w:color w:val="000000"/>
                <w:sz w:val="24"/>
                <w:szCs w:val="24"/>
              </w:rPr>
              <w:t>Nghị quyết</w:t>
            </w:r>
          </w:p>
        </w:tc>
        <w:tc>
          <w:tcPr>
            <w:tcW w:w="3402" w:type="dxa"/>
          </w:tcPr>
          <w:p w:rsidR="0030595C" w:rsidRDefault="00ED53B1">
            <w:pPr>
              <w:widowControl w:val="0"/>
              <w:spacing w:before="80" w:after="0" w:line="240" w:lineRule="auto"/>
              <w:jc w:val="both"/>
              <w:rPr>
                <w:bCs/>
                <w:sz w:val="24"/>
                <w:szCs w:val="24"/>
                <w:lang w:eastAsia="vi-VN"/>
              </w:rPr>
            </w:pPr>
            <w:r>
              <w:rPr>
                <w:sz w:val="24"/>
                <w:szCs w:val="24"/>
              </w:rPr>
              <w:t xml:space="preserve"> S</w:t>
            </w:r>
            <w:r w:rsidR="00B506FC">
              <w:rPr>
                <w:sz w:val="24"/>
                <w:szCs w:val="24"/>
              </w:rPr>
              <w:t xml:space="preserve">ố 02/2017/NQ-HĐND ngày 15 tháng 12 năm 2017 </w:t>
            </w:r>
          </w:p>
          <w:p w:rsidR="0030595C" w:rsidRDefault="0030595C">
            <w:pPr>
              <w:spacing w:after="0" w:line="240" w:lineRule="auto"/>
              <w:jc w:val="both"/>
              <w:rPr>
                <w:color w:val="000000" w:themeColor="text1"/>
                <w:sz w:val="24"/>
                <w:szCs w:val="24"/>
              </w:rPr>
            </w:pPr>
          </w:p>
        </w:tc>
        <w:tc>
          <w:tcPr>
            <w:tcW w:w="5027" w:type="dxa"/>
          </w:tcPr>
          <w:p w:rsidR="0030595C" w:rsidRDefault="00B506FC">
            <w:pPr>
              <w:widowControl w:val="0"/>
              <w:spacing w:before="80" w:after="0" w:line="240" w:lineRule="auto"/>
              <w:jc w:val="both"/>
              <w:rPr>
                <w:bCs/>
                <w:sz w:val="24"/>
                <w:szCs w:val="24"/>
                <w:lang w:eastAsia="vi-VN"/>
              </w:rPr>
            </w:pPr>
            <w:r>
              <w:rPr>
                <w:sz w:val="24"/>
                <w:szCs w:val="24"/>
              </w:rPr>
              <w:t>Về điều chỉnh Kế hoạch</w:t>
            </w:r>
            <w:r>
              <w:rPr>
                <w:bCs/>
                <w:sz w:val="24"/>
                <w:szCs w:val="24"/>
                <w:lang w:eastAsia="vi-VN"/>
              </w:rPr>
              <w:t xml:space="preserve"> đầu tư công trung hạn 5 năm (giai đoạn 2016-2020</w:t>
            </w:r>
            <w:r w:rsidR="009121F1">
              <w:rPr>
                <w:bCs/>
                <w:sz w:val="24"/>
                <w:szCs w:val="24"/>
                <w:lang w:eastAsia="vi-VN"/>
              </w:rPr>
              <w:t>) nguồn vốn ngân sách thành phố</w:t>
            </w:r>
          </w:p>
          <w:p w:rsidR="0030595C" w:rsidRDefault="0030595C">
            <w:pPr>
              <w:spacing w:before="120" w:after="120" w:line="240" w:lineRule="auto"/>
              <w:jc w:val="center"/>
              <w:rPr>
                <w:color w:val="000000"/>
                <w:sz w:val="24"/>
                <w:szCs w:val="24"/>
              </w:rPr>
            </w:pPr>
          </w:p>
        </w:tc>
        <w:tc>
          <w:tcPr>
            <w:tcW w:w="2694" w:type="dxa"/>
          </w:tcPr>
          <w:p w:rsidR="0030595C" w:rsidRDefault="00B506FC">
            <w:pPr>
              <w:spacing w:before="120" w:after="120" w:line="240" w:lineRule="auto"/>
              <w:jc w:val="both"/>
              <w:rPr>
                <w:color w:val="000000" w:themeColor="text1"/>
                <w:sz w:val="24"/>
                <w:szCs w:val="24"/>
              </w:rPr>
            </w:pPr>
            <w:r>
              <w:rPr>
                <w:color w:val="000000" w:themeColor="text1"/>
                <w:sz w:val="24"/>
                <w:szCs w:val="24"/>
              </w:rPr>
              <w:t xml:space="preserve">Bị bãi bỏ bởi Nghị quyết số  01/2021/NQ-HĐND ngày 17   tháng 12 năm 2021 của Hội đồng nhân </w:t>
            </w:r>
            <w:r>
              <w:rPr>
                <w:color w:val="000000" w:themeColor="text1"/>
                <w:sz w:val="24"/>
                <w:szCs w:val="24"/>
              </w:rPr>
              <w:lastRenderedPageBreak/>
              <w:t>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w:t>
            </w:r>
            <w:r w:rsidR="009121F1">
              <w:rPr>
                <w:color w:val="000000" w:themeColor="text1"/>
                <w:sz w:val="24"/>
                <w:szCs w:val="24"/>
              </w:rPr>
              <w:t>ốn ngân sách thành phố Tây Ninh</w:t>
            </w:r>
          </w:p>
          <w:p w:rsidR="0030595C" w:rsidRDefault="0030595C">
            <w:pPr>
              <w:spacing w:before="120" w:after="120" w:line="240" w:lineRule="auto"/>
              <w:jc w:val="both"/>
              <w:rPr>
                <w:color w:val="000000" w:themeColor="text1"/>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lastRenderedPageBreak/>
              <w:t>24/12/2021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lastRenderedPageBreak/>
              <w:t>03</w:t>
            </w:r>
          </w:p>
        </w:tc>
        <w:tc>
          <w:tcPr>
            <w:tcW w:w="1099" w:type="dxa"/>
          </w:tcPr>
          <w:p w:rsidR="0030595C" w:rsidRDefault="00B506FC" w:rsidP="00794813">
            <w:pPr>
              <w:spacing w:after="0" w:line="240" w:lineRule="auto"/>
              <w:jc w:val="center"/>
              <w:rPr>
                <w:color w:val="000000"/>
                <w:sz w:val="24"/>
                <w:szCs w:val="24"/>
              </w:rPr>
            </w:pPr>
            <w:r>
              <w:rPr>
                <w:color w:val="000000"/>
                <w:sz w:val="24"/>
                <w:szCs w:val="24"/>
              </w:rPr>
              <w:t>Nghị quyết</w:t>
            </w:r>
          </w:p>
        </w:tc>
        <w:tc>
          <w:tcPr>
            <w:tcW w:w="3402" w:type="dxa"/>
          </w:tcPr>
          <w:p w:rsidR="0030595C" w:rsidRDefault="00ED53B1">
            <w:pPr>
              <w:spacing w:after="0" w:line="240" w:lineRule="auto"/>
              <w:jc w:val="both"/>
              <w:rPr>
                <w:color w:val="000000" w:themeColor="text1"/>
                <w:sz w:val="24"/>
                <w:szCs w:val="24"/>
              </w:rPr>
            </w:pPr>
            <w:r>
              <w:rPr>
                <w:sz w:val="24"/>
                <w:szCs w:val="24"/>
              </w:rPr>
              <w:t>S</w:t>
            </w:r>
            <w:r w:rsidR="00B506FC">
              <w:rPr>
                <w:sz w:val="24"/>
                <w:szCs w:val="24"/>
              </w:rPr>
              <w:t>ố 01/2019/NQ-HĐND ngày 25 tháng 6 năm 2019</w:t>
            </w:r>
          </w:p>
        </w:tc>
        <w:tc>
          <w:tcPr>
            <w:tcW w:w="5027" w:type="dxa"/>
          </w:tcPr>
          <w:p w:rsidR="0030595C" w:rsidRPr="009121F1" w:rsidRDefault="00B506FC" w:rsidP="009121F1">
            <w:pPr>
              <w:widowControl w:val="0"/>
              <w:spacing w:before="80" w:after="0" w:line="240" w:lineRule="auto"/>
              <w:jc w:val="both"/>
              <w:rPr>
                <w:bCs/>
                <w:sz w:val="24"/>
                <w:szCs w:val="24"/>
                <w:lang w:eastAsia="vi-VN"/>
              </w:rPr>
            </w:pPr>
            <w:r>
              <w:rPr>
                <w:sz w:val="24"/>
                <w:szCs w:val="24"/>
              </w:rPr>
              <w:t>Về sửa đổi, bổ sung Điều 1 của Nghị quyết số 02/2017/NQ-HĐND ngày 15 ngày 12 tháng 2017 của Hội đồng nhân dân thành phố về điều chỉnh Kế hoạch</w:t>
            </w:r>
            <w:r>
              <w:rPr>
                <w:bCs/>
                <w:sz w:val="24"/>
                <w:szCs w:val="24"/>
                <w:lang w:eastAsia="vi-VN"/>
              </w:rPr>
              <w:t xml:space="preserve"> đầu tư công trung hạn 5 năm (giai đoạn 2016-2020</w:t>
            </w:r>
            <w:r w:rsidR="009121F1">
              <w:rPr>
                <w:bCs/>
                <w:sz w:val="24"/>
                <w:szCs w:val="24"/>
                <w:lang w:eastAsia="vi-VN"/>
              </w:rPr>
              <w:t>) nguồn vốn ngân sách thành phố</w:t>
            </w:r>
          </w:p>
        </w:tc>
        <w:tc>
          <w:tcPr>
            <w:tcW w:w="2694" w:type="dxa"/>
          </w:tcPr>
          <w:p w:rsidR="0030595C" w:rsidRDefault="00B506FC">
            <w:pPr>
              <w:spacing w:before="120" w:after="120" w:line="240" w:lineRule="auto"/>
              <w:jc w:val="both"/>
              <w:rPr>
                <w:color w:val="000000" w:themeColor="text1"/>
                <w:sz w:val="24"/>
                <w:szCs w:val="24"/>
              </w:rPr>
            </w:pPr>
            <w:r>
              <w:rPr>
                <w:color w:val="000000" w:themeColor="text1"/>
                <w:sz w:val="24"/>
                <w:szCs w:val="24"/>
              </w:rPr>
              <w:t xml:space="preserve">Bị bãi bỏ bởi Nghị quyết số  01/2021/NQ-HĐND ngày 17   tháng 12 năm 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w:t>
            </w:r>
            <w:r>
              <w:rPr>
                <w:color w:val="000000" w:themeColor="text1"/>
                <w:sz w:val="24"/>
                <w:szCs w:val="24"/>
              </w:rPr>
              <w:lastRenderedPageBreak/>
              <w:t>đoạn 2021-2025) nguồn v</w:t>
            </w:r>
            <w:r w:rsidR="009121F1">
              <w:rPr>
                <w:color w:val="000000" w:themeColor="text1"/>
                <w:sz w:val="24"/>
                <w:szCs w:val="24"/>
              </w:rPr>
              <w:t>ốn ngân sách thành phố Tây Ninh</w:t>
            </w:r>
          </w:p>
          <w:p w:rsidR="0030595C" w:rsidRDefault="0030595C">
            <w:pPr>
              <w:spacing w:before="120" w:after="120" w:line="240" w:lineRule="auto"/>
              <w:jc w:val="both"/>
              <w:rPr>
                <w:color w:val="000000" w:themeColor="text1"/>
                <w:sz w:val="24"/>
                <w:szCs w:val="24"/>
              </w:rPr>
            </w:pPr>
          </w:p>
          <w:p w:rsidR="0030595C" w:rsidRDefault="0030595C">
            <w:pPr>
              <w:spacing w:before="120" w:after="120" w:line="240" w:lineRule="auto"/>
              <w:jc w:val="both"/>
              <w:rPr>
                <w:color w:val="000000" w:themeColor="text1"/>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lastRenderedPageBreak/>
              <w:t>24/12/2021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lastRenderedPageBreak/>
              <w:t>04</w:t>
            </w:r>
          </w:p>
        </w:tc>
        <w:tc>
          <w:tcPr>
            <w:tcW w:w="1099" w:type="dxa"/>
          </w:tcPr>
          <w:p w:rsidR="0030595C" w:rsidRDefault="00B506FC" w:rsidP="00794813">
            <w:pPr>
              <w:spacing w:after="0" w:line="240" w:lineRule="auto"/>
              <w:jc w:val="center"/>
              <w:rPr>
                <w:color w:val="000000"/>
                <w:sz w:val="24"/>
                <w:szCs w:val="24"/>
              </w:rPr>
            </w:pPr>
            <w:r>
              <w:rPr>
                <w:color w:val="000000"/>
                <w:sz w:val="24"/>
                <w:szCs w:val="24"/>
              </w:rPr>
              <w:t>Nghị quyết</w:t>
            </w:r>
          </w:p>
        </w:tc>
        <w:tc>
          <w:tcPr>
            <w:tcW w:w="3402" w:type="dxa"/>
          </w:tcPr>
          <w:p w:rsidR="0030595C" w:rsidRDefault="00ED53B1">
            <w:pPr>
              <w:spacing w:after="0" w:line="240" w:lineRule="auto"/>
              <w:jc w:val="both"/>
              <w:rPr>
                <w:color w:val="000000" w:themeColor="text1"/>
                <w:sz w:val="24"/>
                <w:szCs w:val="24"/>
              </w:rPr>
            </w:pPr>
            <w:r>
              <w:rPr>
                <w:sz w:val="24"/>
                <w:szCs w:val="24"/>
              </w:rPr>
              <w:t>S</w:t>
            </w:r>
            <w:r w:rsidR="00B506FC">
              <w:rPr>
                <w:sz w:val="24"/>
                <w:szCs w:val="24"/>
              </w:rPr>
              <w:t>ố 17/2019/NQ-HĐND ngày 17 tháng 12 năm 2019</w:t>
            </w:r>
          </w:p>
        </w:tc>
        <w:tc>
          <w:tcPr>
            <w:tcW w:w="5027" w:type="dxa"/>
          </w:tcPr>
          <w:p w:rsidR="0030595C" w:rsidRDefault="00B506FC">
            <w:pPr>
              <w:widowControl w:val="0"/>
              <w:spacing w:before="80" w:after="0" w:line="240" w:lineRule="auto"/>
              <w:jc w:val="both"/>
              <w:rPr>
                <w:sz w:val="24"/>
                <w:szCs w:val="24"/>
              </w:rPr>
            </w:pPr>
            <w:r>
              <w:rPr>
                <w:sz w:val="24"/>
                <w:szCs w:val="24"/>
              </w:rPr>
              <w:t>Về sửa đổi, bổ sung Điều 1 của Nghị quyết số 01/2019/NQ-HĐND ngày 25 tháng 6 năm 2019 của Hội đồng nhân dân thành phố Tây Ninh về sửa đổi, bổ sung điều 1 của Nghị quyết số 02/2017/NQ-HĐND ngày 15 tháng 12 năm 2017 của Hội đồng nhân dân thành phố Tây Ninh về điều chỉnh Kế hoạch</w:t>
            </w:r>
            <w:r>
              <w:rPr>
                <w:bCs/>
                <w:sz w:val="24"/>
                <w:szCs w:val="24"/>
                <w:lang w:eastAsia="vi-VN"/>
              </w:rPr>
              <w:t xml:space="preserve"> đầu tư công trung hạn 5 năm (giai đoạn 2016-2020) nguồn v</w:t>
            </w:r>
            <w:r w:rsidR="009121F1">
              <w:rPr>
                <w:bCs/>
                <w:sz w:val="24"/>
                <w:szCs w:val="24"/>
                <w:lang w:eastAsia="vi-VN"/>
              </w:rPr>
              <w:t>ốn ngân sách thành phố Tây Ninh</w:t>
            </w:r>
          </w:p>
          <w:p w:rsidR="0030595C" w:rsidRDefault="0030595C">
            <w:pPr>
              <w:spacing w:before="120" w:after="120" w:line="240" w:lineRule="auto"/>
              <w:jc w:val="both"/>
              <w:rPr>
                <w:color w:val="000000"/>
                <w:sz w:val="24"/>
                <w:szCs w:val="24"/>
              </w:rPr>
            </w:pPr>
          </w:p>
        </w:tc>
        <w:tc>
          <w:tcPr>
            <w:tcW w:w="2694" w:type="dxa"/>
          </w:tcPr>
          <w:p w:rsidR="0030595C" w:rsidRDefault="00B506FC">
            <w:pPr>
              <w:spacing w:before="120" w:after="120" w:line="240" w:lineRule="auto"/>
              <w:jc w:val="both"/>
              <w:rPr>
                <w:color w:val="000000" w:themeColor="text1"/>
                <w:sz w:val="24"/>
                <w:szCs w:val="24"/>
              </w:rPr>
            </w:pPr>
            <w:r>
              <w:rPr>
                <w:color w:val="000000" w:themeColor="text1"/>
                <w:sz w:val="24"/>
                <w:szCs w:val="24"/>
              </w:rPr>
              <w:t>Bị bãi bỏ bởi Nghị quyết số  01/2021/NQ-HĐND ngày 17   tháng 12 năm 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w:t>
            </w:r>
            <w:r w:rsidR="009121F1">
              <w:rPr>
                <w:color w:val="000000" w:themeColor="text1"/>
                <w:sz w:val="24"/>
                <w:szCs w:val="24"/>
              </w:rPr>
              <w:t>ốn ngân sách thành phố Tây Ninh</w:t>
            </w:r>
            <w:bookmarkStart w:id="0" w:name="_GoBack"/>
            <w:bookmarkEnd w:id="0"/>
          </w:p>
        </w:tc>
        <w:tc>
          <w:tcPr>
            <w:tcW w:w="1464" w:type="dxa"/>
          </w:tcPr>
          <w:p w:rsidR="0030595C" w:rsidRDefault="00B506FC">
            <w:pPr>
              <w:spacing w:before="120" w:after="120" w:line="240" w:lineRule="auto"/>
              <w:jc w:val="center"/>
              <w:rPr>
                <w:color w:val="000000"/>
                <w:sz w:val="26"/>
                <w:szCs w:val="26"/>
              </w:rPr>
            </w:pPr>
            <w:r>
              <w:rPr>
                <w:color w:val="000000"/>
                <w:sz w:val="26"/>
                <w:szCs w:val="26"/>
              </w:rPr>
              <w:t>24/12/2021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t>05</w:t>
            </w:r>
          </w:p>
        </w:tc>
        <w:tc>
          <w:tcPr>
            <w:tcW w:w="1099" w:type="dxa"/>
          </w:tcPr>
          <w:p w:rsidR="0030595C" w:rsidRDefault="00B506FC" w:rsidP="00794813">
            <w:pPr>
              <w:spacing w:after="0" w:line="240" w:lineRule="auto"/>
              <w:jc w:val="center"/>
              <w:rPr>
                <w:color w:val="000000"/>
                <w:sz w:val="24"/>
                <w:szCs w:val="24"/>
              </w:rPr>
            </w:pPr>
            <w:r>
              <w:rPr>
                <w:sz w:val="24"/>
                <w:szCs w:val="24"/>
              </w:rPr>
              <w:t>Nghị quyết</w:t>
            </w:r>
          </w:p>
        </w:tc>
        <w:tc>
          <w:tcPr>
            <w:tcW w:w="3402" w:type="dxa"/>
          </w:tcPr>
          <w:p w:rsidR="0030595C" w:rsidRDefault="00ED53B1">
            <w:pPr>
              <w:spacing w:after="0" w:line="240" w:lineRule="auto"/>
              <w:jc w:val="both"/>
              <w:rPr>
                <w:color w:val="000000" w:themeColor="text1"/>
                <w:sz w:val="24"/>
                <w:szCs w:val="24"/>
              </w:rPr>
            </w:pPr>
            <w:r>
              <w:rPr>
                <w:sz w:val="24"/>
                <w:szCs w:val="24"/>
              </w:rPr>
              <w:t>S</w:t>
            </w:r>
            <w:r w:rsidR="00B506FC">
              <w:rPr>
                <w:sz w:val="24"/>
                <w:szCs w:val="24"/>
              </w:rPr>
              <w:t>ố 01/2020/NQ-HĐND ngày 26 tháng 6 năm 2020</w:t>
            </w:r>
          </w:p>
        </w:tc>
        <w:tc>
          <w:tcPr>
            <w:tcW w:w="5027" w:type="dxa"/>
          </w:tcPr>
          <w:p w:rsidR="0030595C" w:rsidRDefault="00B506FC">
            <w:pPr>
              <w:widowControl w:val="0"/>
              <w:spacing w:before="80" w:after="0" w:line="240" w:lineRule="auto"/>
              <w:jc w:val="both"/>
              <w:rPr>
                <w:bCs/>
                <w:sz w:val="24"/>
                <w:szCs w:val="24"/>
                <w:lang w:eastAsia="vi-VN"/>
              </w:rPr>
            </w:pPr>
            <w:r>
              <w:rPr>
                <w:sz w:val="24"/>
                <w:szCs w:val="24"/>
              </w:rPr>
              <w:t xml:space="preserve"> Về sửa đổi, bổ sung Nghị quyết số 17/2019/NQ-HĐND và sửa đổi, bổ sung Điều 1 của Nghị quyết số 01/2019/NQ-HĐND ngày 25 tháng 6 năm 2019 của Hội đồng nhân dân thành phố Tây Ninh về sửa đổi, bổ sung Điều 1 của Nghị quyết số 02/2017/NQ-HĐND ngày 15 tháng 12 năm 2017 của Hội đồng nhân dân thành phố Tây Ninh </w:t>
            </w:r>
            <w:r>
              <w:rPr>
                <w:sz w:val="24"/>
                <w:szCs w:val="24"/>
              </w:rPr>
              <w:lastRenderedPageBreak/>
              <w:t>về điều chỉnh Kế hoạch</w:t>
            </w:r>
            <w:r>
              <w:rPr>
                <w:bCs/>
                <w:sz w:val="24"/>
                <w:szCs w:val="24"/>
                <w:lang w:eastAsia="vi-VN"/>
              </w:rPr>
              <w:t xml:space="preserve"> đầu tư công trung hạn 5 năm (giai đoạn 2016-2020</w:t>
            </w:r>
            <w:r w:rsidR="009121F1">
              <w:rPr>
                <w:bCs/>
                <w:sz w:val="24"/>
                <w:szCs w:val="24"/>
                <w:lang w:eastAsia="vi-VN"/>
              </w:rPr>
              <w:t>) nguồn vốn ngân sách thành phố</w:t>
            </w:r>
          </w:p>
          <w:p w:rsidR="0030595C" w:rsidRDefault="0030595C">
            <w:pPr>
              <w:spacing w:before="120" w:after="120" w:line="240" w:lineRule="auto"/>
              <w:jc w:val="both"/>
              <w:rPr>
                <w:color w:val="000000"/>
                <w:sz w:val="24"/>
                <w:szCs w:val="24"/>
              </w:rPr>
            </w:pPr>
          </w:p>
        </w:tc>
        <w:tc>
          <w:tcPr>
            <w:tcW w:w="2694" w:type="dxa"/>
          </w:tcPr>
          <w:p w:rsidR="0030595C" w:rsidRDefault="00B506FC">
            <w:pPr>
              <w:spacing w:before="120" w:after="120" w:line="240" w:lineRule="auto"/>
              <w:jc w:val="both"/>
              <w:rPr>
                <w:color w:val="000000" w:themeColor="text1"/>
                <w:sz w:val="24"/>
                <w:szCs w:val="24"/>
              </w:rPr>
            </w:pPr>
            <w:r>
              <w:rPr>
                <w:color w:val="000000" w:themeColor="text1"/>
                <w:sz w:val="24"/>
                <w:szCs w:val="24"/>
              </w:rPr>
              <w:lastRenderedPageBreak/>
              <w:t xml:space="preserve">Bị bãi bỏ bởi Nghị quyết số  01/2021/NQ-HĐND ngày 17   tháng 12 năm 2021 của Hội đồng nhân dân thành phố về việc bãi bỏ các Nghị quyết của </w:t>
            </w:r>
            <w:r>
              <w:rPr>
                <w:color w:val="000000" w:themeColor="text1"/>
                <w:sz w:val="24"/>
                <w:szCs w:val="24"/>
              </w:rPr>
              <w:lastRenderedPageBreak/>
              <w:t>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đoạn 2021-2025) nguồn v</w:t>
            </w:r>
            <w:r w:rsidR="009121F1">
              <w:rPr>
                <w:color w:val="000000" w:themeColor="text1"/>
                <w:sz w:val="24"/>
                <w:szCs w:val="24"/>
              </w:rPr>
              <w:t>ốn ngân sách thành phố Tây Ninh</w:t>
            </w:r>
          </w:p>
          <w:p w:rsidR="0030595C" w:rsidRDefault="0030595C">
            <w:pPr>
              <w:spacing w:before="120" w:after="120" w:line="240" w:lineRule="auto"/>
              <w:jc w:val="both"/>
              <w:rPr>
                <w:color w:val="000000" w:themeColor="text1"/>
                <w:sz w:val="24"/>
                <w:szCs w:val="24"/>
              </w:rPr>
            </w:pPr>
          </w:p>
          <w:p w:rsidR="00794813" w:rsidRDefault="00794813">
            <w:pPr>
              <w:spacing w:before="120" w:after="120" w:line="240" w:lineRule="auto"/>
              <w:jc w:val="both"/>
              <w:rPr>
                <w:color w:val="000000" w:themeColor="text1"/>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lastRenderedPageBreak/>
              <w:t>24/12/2021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lastRenderedPageBreak/>
              <w:t>06</w:t>
            </w:r>
          </w:p>
        </w:tc>
        <w:tc>
          <w:tcPr>
            <w:tcW w:w="1099" w:type="dxa"/>
          </w:tcPr>
          <w:p w:rsidR="0030595C" w:rsidRDefault="00B506FC" w:rsidP="00794813">
            <w:pPr>
              <w:spacing w:after="0" w:line="240" w:lineRule="auto"/>
              <w:jc w:val="center"/>
              <w:rPr>
                <w:color w:val="000000"/>
                <w:sz w:val="24"/>
                <w:szCs w:val="24"/>
              </w:rPr>
            </w:pPr>
            <w:r>
              <w:rPr>
                <w:sz w:val="24"/>
                <w:szCs w:val="24"/>
              </w:rPr>
              <w:t>Nghị quyết</w:t>
            </w:r>
          </w:p>
        </w:tc>
        <w:tc>
          <w:tcPr>
            <w:tcW w:w="3402" w:type="dxa"/>
          </w:tcPr>
          <w:p w:rsidR="0030595C" w:rsidRDefault="00ED53B1">
            <w:pPr>
              <w:spacing w:after="0" w:line="240" w:lineRule="auto"/>
              <w:jc w:val="both"/>
              <w:rPr>
                <w:color w:val="000000" w:themeColor="text1"/>
                <w:sz w:val="24"/>
                <w:szCs w:val="24"/>
              </w:rPr>
            </w:pPr>
            <w:r>
              <w:rPr>
                <w:bCs/>
                <w:sz w:val="24"/>
                <w:szCs w:val="24"/>
                <w:lang w:eastAsia="vi-VN"/>
              </w:rPr>
              <w:t>S</w:t>
            </w:r>
            <w:r w:rsidR="00B506FC">
              <w:rPr>
                <w:bCs/>
                <w:sz w:val="24"/>
                <w:szCs w:val="24"/>
                <w:lang w:eastAsia="vi-VN"/>
              </w:rPr>
              <w:t>ố 19/2019/NQ-HĐND ngày 17 tháng 12 năm 2019</w:t>
            </w:r>
          </w:p>
        </w:tc>
        <w:tc>
          <w:tcPr>
            <w:tcW w:w="5027" w:type="dxa"/>
          </w:tcPr>
          <w:p w:rsidR="0030595C" w:rsidRDefault="00B506FC">
            <w:pPr>
              <w:widowControl w:val="0"/>
              <w:spacing w:before="80" w:after="0" w:line="240" w:lineRule="auto"/>
              <w:jc w:val="both"/>
              <w:rPr>
                <w:bCs/>
                <w:sz w:val="24"/>
                <w:szCs w:val="24"/>
              </w:rPr>
            </w:pPr>
            <w:r>
              <w:rPr>
                <w:bCs/>
                <w:sz w:val="24"/>
                <w:szCs w:val="24"/>
                <w:lang w:eastAsia="vi-VN"/>
              </w:rPr>
              <w:t xml:space="preserve"> Về Kế hoạch đầu tư công trung hạn 5 năm (giai đoạn 2021-2025) nguồn v</w:t>
            </w:r>
            <w:r w:rsidR="009121F1">
              <w:rPr>
                <w:bCs/>
                <w:sz w:val="24"/>
                <w:szCs w:val="24"/>
                <w:lang w:eastAsia="vi-VN"/>
              </w:rPr>
              <w:t>ốn ngân sách thành phố Tây Ninh</w:t>
            </w:r>
          </w:p>
          <w:p w:rsidR="0030595C" w:rsidRDefault="0030595C">
            <w:pPr>
              <w:spacing w:before="120" w:after="120" w:line="240" w:lineRule="auto"/>
              <w:jc w:val="both"/>
              <w:rPr>
                <w:color w:val="000000"/>
                <w:sz w:val="24"/>
                <w:szCs w:val="24"/>
              </w:rPr>
            </w:pPr>
          </w:p>
        </w:tc>
        <w:tc>
          <w:tcPr>
            <w:tcW w:w="2694" w:type="dxa"/>
          </w:tcPr>
          <w:p w:rsidR="0030595C" w:rsidRDefault="00B506FC">
            <w:pPr>
              <w:spacing w:before="120" w:after="120" w:line="240" w:lineRule="auto"/>
              <w:jc w:val="both"/>
              <w:rPr>
                <w:color w:val="000000" w:themeColor="text1"/>
                <w:sz w:val="24"/>
                <w:szCs w:val="24"/>
              </w:rPr>
            </w:pPr>
            <w:r>
              <w:rPr>
                <w:color w:val="000000" w:themeColor="text1"/>
                <w:sz w:val="24"/>
                <w:szCs w:val="24"/>
              </w:rPr>
              <w:t xml:space="preserve">Bị bãi bỏ bởi Nghị quyết số  01/2021/NQ-HĐND ngày 17   tháng 12 năm 2021 của Hội đồng nhân dân thành phố về việc bãi bỏ các Nghị quyết của Hội đồng nhân dân thành phố Tây Ninh về Danh mục đầu tư công trung hạn 5 năm giai đoạn 2016-2020 nguồn vốn ngân sách tỉnh hỗ trợ có mục tiêu và ngân sách thành phố; Nghị quyết về Kế hoạch đầu tư công trung hạn 5 năm (giai </w:t>
            </w:r>
            <w:r>
              <w:rPr>
                <w:color w:val="000000" w:themeColor="text1"/>
                <w:sz w:val="24"/>
                <w:szCs w:val="24"/>
              </w:rPr>
              <w:lastRenderedPageBreak/>
              <w:t>đoạn 2021-2025) nguồn v</w:t>
            </w:r>
            <w:r w:rsidR="009121F1">
              <w:rPr>
                <w:color w:val="000000" w:themeColor="text1"/>
                <w:sz w:val="24"/>
                <w:szCs w:val="24"/>
              </w:rPr>
              <w:t>ốn ngân sách thành phố Tây Ninh</w:t>
            </w:r>
          </w:p>
          <w:p w:rsidR="0030595C" w:rsidRDefault="0030595C">
            <w:pPr>
              <w:spacing w:before="120" w:after="120" w:line="240" w:lineRule="auto"/>
              <w:jc w:val="both"/>
              <w:rPr>
                <w:color w:val="000000" w:themeColor="text1"/>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lastRenderedPageBreak/>
              <w:t>24/12/2021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lastRenderedPageBreak/>
              <w:t>07</w:t>
            </w:r>
          </w:p>
        </w:tc>
        <w:tc>
          <w:tcPr>
            <w:tcW w:w="1099" w:type="dxa"/>
          </w:tcPr>
          <w:p w:rsidR="0030595C" w:rsidRDefault="00B506FC">
            <w:pPr>
              <w:spacing w:after="0" w:line="240" w:lineRule="auto"/>
              <w:jc w:val="center"/>
              <w:rPr>
                <w:color w:val="000000"/>
                <w:sz w:val="24"/>
                <w:szCs w:val="24"/>
              </w:rPr>
            </w:pPr>
            <w:r>
              <w:rPr>
                <w:color w:val="000000"/>
                <w:sz w:val="24"/>
                <w:szCs w:val="24"/>
              </w:rPr>
              <w:t>Quyết định</w:t>
            </w:r>
          </w:p>
        </w:tc>
        <w:tc>
          <w:tcPr>
            <w:tcW w:w="3402" w:type="dxa"/>
          </w:tcPr>
          <w:p w:rsidR="0030595C" w:rsidRDefault="00ED53B1">
            <w:pPr>
              <w:spacing w:after="0" w:line="240" w:lineRule="auto"/>
              <w:jc w:val="both"/>
              <w:rPr>
                <w:color w:val="000000" w:themeColor="text1"/>
                <w:sz w:val="24"/>
                <w:szCs w:val="24"/>
              </w:rPr>
            </w:pPr>
            <w:r>
              <w:rPr>
                <w:bCs/>
                <w:sz w:val="24"/>
                <w:szCs w:val="24"/>
              </w:rPr>
              <w:t>S</w:t>
            </w:r>
            <w:r w:rsidR="00B506FC">
              <w:rPr>
                <w:bCs/>
                <w:sz w:val="24"/>
                <w:szCs w:val="24"/>
                <w:lang w:val="vi-VN"/>
              </w:rPr>
              <w:t>ố</w:t>
            </w:r>
            <w:r w:rsidR="00B506FC">
              <w:rPr>
                <w:bCs/>
                <w:sz w:val="24"/>
                <w:szCs w:val="24"/>
              </w:rPr>
              <w:t xml:space="preserve"> </w:t>
            </w:r>
            <w:r w:rsidR="00B506FC">
              <w:rPr>
                <w:bCs/>
                <w:sz w:val="24"/>
                <w:szCs w:val="24"/>
                <w:lang w:val="vi-VN"/>
              </w:rPr>
              <w:t>07/2016/QĐ-UBND</w:t>
            </w:r>
            <w:r w:rsidR="00B506FC">
              <w:rPr>
                <w:bCs/>
                <w:sz w:val="24"/>
                <w:szCs w:val="24"/>
              </w:rPr>
              <w:t xml:space="preserve"> </w:t>
            </w:r>
            <w:r w:rsidR="00B506FC">
              <w:rPr>
                <w:bCs/>
                <w:sz w:val="24"/>
                <w:szCs w:val="24"/>
                <w:lang w:val="vi-VN"/>
              </w:rPr>
              <w:t>ngày 18</w:t>
            </w:r>
            <w:r w:rsidR="00B506FC">
              <w:rPr>
                <w:bCs/>
                <w:sz w:val="24"/>
                <w:szCs w:val="24"/>
              </w:rPr>
              <w:t xml:space="preserve"> tháng </w:t>
            </w:r>
            <w:r w:rsidR="00B506FC">
              <w:rPr>
                <w:bCs/>
                <w:sz w:val="24"/>
                <w:szCs w:val="24"/>
                <w:lang w:val="vi-VN"/>
              </w:rPr>
              <w:t>11</w:t>
            </w:r>
            <w:r w:rsidR="00B506FC">
              <w:rPr>
                <w:bCs/>
                <w:sz w:val="24"/>
                <w:szCs w:val="24"/>
              </w:rPr>
              <w:t xml:space="preserve"> năm </w:t>
            </w:r>
            <w:r w:rsidR="00B506FC">
              <w:rPr>
                <w:bCs/>
                <w:sz w:val="24"/>
                <w:szCs w:val="24"/>
                <w:lang w:val="vi-VN"/>
              </w:rPr>
              <w:t>2016</w:t>
            </w:r>
          </w:p>
        </w:tc>
        <w:tc>
          <w:tcPr>
            <w:tcW w:w="5027" w:type="dxa"/>
          </w:tcPr>
          <w:p w:rsidR="0030595C" w:rsidRDefault="00B506FC">
            <w:pPr>
              <w:spacing w:before="120" w:after="120" w:line="240" w:lineRule="auto"/>
              <w:jc w:val="both"/>
              <w:rPr>
                <w:color w:val="000000"/>
                <w:sz w:val="24"/>
                <w:szCs w:val="24"/>
              </w:rPr>
            </w:pPr>
            <w:r>
              <w:rPr>
                <w:bCs/>
                <w:sz w:val="24"/>
                <w:szCs w:val="24"/>
              </w:rPr>
              <w:t>V</w:t>
            </w:r>
            <w:r>
              <w:rPr>
                <w:bCs/>
                <w:sz w:val="24"/>
                <w:szCs w:val="24"/>
                <w:lang w:val="vi-VN"/>
              </w:rPr>
              <w:t>ề việc ban hành Quy định về chức năng, nhiệm vụ, quyền hạn và cơ cấu tổ chức của Phòng Giáo dục và Đào tạo thành phố Tây Ninh</w:t>
            </w:r>
          </w:p>
        </w:tc>
        <w:tc>
          <w:tcPr>
            <w:tcW w:w="2694" w:type="dxa"/>
          </w:tcPr>
          <w:p w:rsidR="0030595C" w:rsidRDefault="00B506FC">
            <w:pPr>
              <w:spacing w:before="120" w:after="120" w:line="240" w:lineRule="auto"/>
              <w:jc w:val="both"/>
              <w:rPr>
                <w:bCs/>
                <w:sz w:val="24"/>
                <w:szCs w:val="24"/>
                <w:lang w:val="vi-VN"/>
              </w:rPr>
            </w:pPr>
            <w:r>
              <w:rPr>
                <w:color w:val="000000" w:themeColor="text1"/>
                <w:sz w:val="24"/>
                <w:szCs w:val="24"/>
              </w:rPr>
              <w:t>Bị thay thế bởi Quyết định số 01/2021/QĐ-UB</w:t>
            </w:r>
            <w:r w:rsidR="00CC5147">
              <w:rPr>
                <w:color w:val="000000" w:themeColor="text1"/>
                <w:sz w:val="24"/>
                <w:szCs w:val="24"/>
              </w:rPr>
              <w:t>ND ngày 10 tháng 9 năm 2021 của Ủy ban nhân dân</w:t>
            </w:r>
            <w:r>
              <w:rPr>
                <w:color w:val="000000" w:themeColor="text1"/>
                <w:sz w:val="24"/>
                <w:szCs w:val="24"/>
              </w:rPr>
              <w:t xml:space="preserve"> thành phố Tây Ninh về </w:t>
            </w:r>
            <w:r>
              <w:rPr>
                <w:bCs/>
                <w:sz w:val="24"/>
                <w:szCs w:val="24"/>
                <w:lang w:val="vi-VN"/>
              </w:rPr>
              <w:t>việc ban hành Quy định về chức năng, nhiệm vụ, quyền hạn và cơ cấu tổ chức của Phòng Giáo dục và Đào tạo thành phố Tây Ninh</w:t>
            </w:r>
          </w:p>
          <w:p w:rsidR="0030595C" w:rsidRDefault="0030595C">
            <w:pPr>
              <w:spacing w:before="120" w:after="120" w:line="240" w:lineRule="auto"/>
              <w:jc w:val="both"/>
              <w:rPr>
                <w:bCs/>
                <w:sz w:val="24"/>
                <w:szCs w:val="24"/>
              </w:rPr>
            </w:pPr>
          </w:p>
          <w:p w:rsidR="00794813" w:rsidRDefault="00794813">
            <w:pPr>
              <w:spacing w:before="120" w:after="120" w:line="240" w:lineRule="auto"/>
              <w:jc w:val="both"/>
              <w:rPr>
                <w:bCs/>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t>17/9/2021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t>08</w:t>
            </w:r>
          </w:p>
        </w:tc>
        <w:tc>
          <w:tcPr>
            <w:tcW w:w="1099" w:type="dxa"/>
          </w:tcPr>
          <w:p w:rsidR="0030595C" w:rsidRDefault="00B506FC">
            <w:pPr>
              <w:spacing w:after="0" w:line="240" w:lineRule="auto"/>
              <w:jc w:val="center"/>
              <w:rPr>
                <w:color w:val="000000"/>
                <w:sz w:val="24"/>
                <w:szCs w:val="24"/>
              </w:rPr>
            </w:pPr>
            <w:r>
              <w:rPr>
                <w:color w:val="000000"/>
                <w:sz w:val="24"/>
                <w:szCs w:val="24"/>
              </w:rPr>
              <w:t>Quyết định</w:t>
            </w:r>
          </w:p>
        </w:tc>
        <w:tc>
          <w:tcPr>
            <w:tcW w:w="3402" w:type="dxa"/>
          </w:tcPr>
          <w:p w:rsidR="0030595C" w:rsidRDefault="00ED53B1">
            <w:pPr>
              <w:spacing w:after="0" w:line="240" w:lineRule="auto"/>
              <w:jc w:val="both"/>
              <w:rPr>
                <w:color w:val="000000" w:themeColor="text1"/>
                <w:sz w:val="24"/>
                <w:szCs w:val="24"/>
              </w:rPr>
            </w:pPr>
            <w:r>
              <w:rPr>
                <w:bCs/>
                <w:sz w:val="24"/>
                <w:szCs w:val="24"/>
              </w:rPr>
              <w:t>S</w:t>
            </w:r>
            <w:r w:rsidR="00B506FC">
              <w:rPr>
                <w:bCs/>
                <w:sz w:val="24"/>
                <w:szCs w:val="24"/>
              </w:rPr>
              <w:t xml:space="preserve">ố 03/2016/QĐ-UBND ngày 15 tháng 3 năm 2016 </w:t>
            </w:r>
          </w:p>
        </w:tc>
        <w:tc>
          <w:tcPr>
            <w:tcW w:w="5027" w:type="dxa"/>
          </w:tcPr>
          <w:p w:rsidR="0030595C" w:rsidRDefault="00B506FC">
            <w:pPr>
              <w:spacing w:before="120" w:after="120" w:line="240" w:lineRule="auto"/>
              <w:jc w:val="both"/>
              <w:rPr>
                <w:color w:val="000000"/>
                <w:sz w:val="24"/>
                <w:szCs w:val="24"/>
              </w:rPr>
            </w:pPr>
            <w:r>
              <w:rPr>
                <w:bCs/>
                <w:sz w:val="24"/>
                <w:szCs w:val="24"/>
              </w:rPr>
              <w:t>V</w:t>
            </w:r>
            <w:r>
              <w:rPr>
                <w:bCs/>
                <w:sz w:val="24"/>
                <w:szCs w:val="24"/>
                <w:lang w:val="vi-VN"/>
              </w:rPr>
              <w:t xml:space="preserve">ề việc ban hành Quy định về chức năng, nhiệm vụ, quyền hạn và cơ cấu tổ chức của Phòng </w:t>
            </w:r>
            <w:r>
              <w:rPr>
                <w:bCs/>
                <w:sz w:val="24"/>
                <w:szCs w:val="24"/>
              </w:rPr>
              <w:t>Tư pháp</w:t>
            </w:r>
            <w:r>
              <w:rPr>
                <w:bCs/>
                <w:sz w:val="24"/>
                <w:szCs w:val="24"/>
                <w:lang w:val="vi-VN"/>
              </w:rPr>
              <w:t xml:space="preserve"> thành phố Tây Ninh</w:t>
            </w:r>
          </w:p>
        </w:tc>
        <w:tc>
          <w:tcPr>
            <w:tcW w:w="2694" w:type="dxa"/>
          </w:tcPr>
          <w:p w:rsidR="0030595C" w:rsidRDefault="00B506FC">
            <w:pPr>
              <w:spacing w:before="120" w:after="120" w:line="240" w:lineRule="auto"/>
              <w:jc w:val="both"/>
              <w:rPr>
                <w:bCs/>
                <w:sz w:val="24"/>
                <w:szCs w:val="24"/>
              </w:rPr>
            </w:pPr>
            <w:r>
              <w:rPr>
                <w:color w:val="000000" w:themeColor="text1"/>
                <w:sz w:val="24"/>
                <w:szCs w:val="24"/>
              </w:rPr>
              <w:t xml:space="preserve">Bị thay thế bởi Quyết định số 02/2021/QĐ-UBND ngày 09 tháng 11 năm 2021 của </w:t>
            </w:r>
            <w:r w:rsidR="00CC5147">
              <w:rPr>
                <w:color w:val="000000" w:themeColor="text1"/>
                <w:sz w:val="24"/>
                <w:szCs w:val="24"/>
              </w:rPr>
              <w:t xml:space="preserve">Ủy ban nhân dân thành phố Tây Ninh </w:t>
            </w:r>
            <w:r>
              <w:rPr>
                <w:color w:val="000000" w:themeColor="text1"/>
                <w:sz w:val="24"/>
                <w:szCs w:val="24"/>
              </w:rPr>
              <w:t xml:space="preserve">về </w:t>
            </w:r>
            <w:r>
              <w:rPr>
                <w:bCs/>
                <w:sz w:val="24"/>
                <w:szCs w:val="24"/>
                <w:lang w:val="vi-VN"/>
              </w:rPr>
              <w:t xml:space="preserve">việc ban hành Quy định về chức năng, nhiệm vụ, quyền hạn và cơ cấu tổ chức của Phòng </w:t>
            </w:r>
            <w:r>
              <w:rPr>
                <w:bCs/>
                <w:sz w:val="24"/>
                <w:szCs w:val="24"/>
              </w:rPr>
              <w:t>Tư pháp</w:t>
            </w:r>
            <w:r>
              <w:rPr>
                <w:bCs/>
                <w:sz w:val="24"/>
                <w:szCs w:val="24"/>
                <w:lang w:val="vi-VN"/>
              </w:rPr>
              <w:t xml:space="preserve"> thành phố Tây Ninh</w:t>
            </w:r>
          </w:p>
          <w:p w:rsidR="00794813" w:rsidRDefault="00794813">
            <w:pPr>
              <w:spacing w:before="120" w:after="120" w:line="240" w:lineRule="auto"/>
              <w:jc w:val="both"/>
              <w:rPr>
                <w:bCs/>
                <w:sz w:val="24"/>
                <w:szCs w:val="24"/>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t>15/11/2021</w:t>
            </w:r>
          </w:p>
        </w:tc>
      </w:tr>
      <w:tr w:rsidR="0030595C" w:rsidTr="00CC5147">
        <w:tc>
          <w:tcPr>
            <w:tcW w:w="982" w:type="dxa"/>
          </w:tcPr>
          <w:p w:rsidR="0030595C" w:rsidRDefault="00B506FC">
            <w:pPr>
              <w:spacing w:after="0" w:line="240" w:lineRule="auto"/>
              <w:jc w:val="center"/>
              <w:rPr>
                <w:color w:val="000000"/>
                <w:sz w:val="24"/>
                <w:szCs w:val="24"/>
              </w:rPr>
            </w:pPr>
            <w:r>
              <w:rPr>
                <w:color w:val="000000"/>
                <w:sz w:val="24"/>
                <w:szCs w:val="24"/>
              </w:rPr>
              <w:lastRenderedPageBreak/>
              <w:t>09</w:t>
            </w:r>
          </w:p>
        </w:tc>
        <w:tc>
          <w:tcPr>
            <w:tcW w:w="1099" w:type="dxa"/>
          </w:tcPr>
          <w:p w:rsidR="0030595C" w:rsidRDefault="00B506FC">
            <w:pPr>
              <w:spacing w:after="0" w:line="240" w:lineRule="auto"/>
              <w:jc w:val="center"/>
              <w:rPr>
                <w:color w:val="000000"/>
                <w:sz w:val="24"/>
                <w:szCs w:val="24"/>
              </w:rPr>
            </w:pPr>
            <w:r>
              <w:rPr>
                <w:color w:val="000000"/>
                <w:sz w:val="24"/>
                <w:szCs w:val="24"/>
              </w:rPr>
              <w:t>Quyết định</w:t>
            </w:r>
          </w:p>
        </w:tc>
        <w:tc>
          <w:tcPr>
            <w:tcW w:w="3402" w:type="dxa"/>
          </w:tcPr>
          <w:p w:rsidR="0030595C" w:rsidRDefault="00ED53B1">
            <w:pPr>
              <w:spacing w:after="0" w:line="240" w:lineRule="auto"/>
              <w:jc w:val="both"/>
              <w:rPr>
                <w:color w:val="000000" w:themeColor="text1"/>
                <w:sz w:val="24"/>
                <w:szCs w:val="24"/>
              </w:rPr>
            </w:pPr>
            <w:r>
              <w:rPr>
                <w:bCs/>
                <w:sz w:val="24"/>
                <w:szCs w:val="24"/>
              </w:rPr>
              <w:t>S</w:t>
            </w:r>
            <w:r w:rsidR="00B506FC">
              <w:rPr>
                <w:bCs/>
                <w:sz w:val="24"/>
                <w:szCs w:val="24"/>
              </w:rPr>
              <w:t xml:space="preserve">ố 04/2016/QĐ-UBND ngày 28 tháng 6 năm 2016 </w:t>
            </w:r>
          </w:p>
        </w:tc>
        <w:tc>
          <w:tcPr>
            <w:tcW w:w="5027" w:type="dxa"/>
          </w:tcPr>
          <w:p w:rsidR="0030595C" w:rsidRDefault="00B506FC">
            <w:pPr>
              <w:spacing w:before="120" w:after="120" w:line="240" w:lineRule="auto"/>
              <w:jc w:val="both"/>
              <w:rPr>
                <w:color w:val="000000"/>
                <w:sz w:val="24"/>
                <w:szCs w:val="24"/>
              </w:rPr>
            </w:pPr>
            <w:r>
              <w:rPr>
                <w:bCs/>
                <w:sz w:val="24"/>
                <w:szCs w:val="24"/>
              </w:rPr>
              <w:t>V</w:t>
            </w:r>
            <w:r>
              <w:rPr>
                <w:bCs/>
                <w:sz w:val="24"/>
                <w:szCs w:val="24"/>
                <w:lang w:val="vi-VN"/>
              </w:rPr>
              <w:t xml:space="preserve">ề việc ban hành Quy định về chức năng, nhiệm vụ, quyền hạn và cơ cấu tổ chức của Phòng </w:t>
            </w:r>
            <w:r>
              <w:rPr>
                <w:bCs/>
                <w:sz w:val="24"/>
                <w:szCs w:val="24"/>
              </w:rPr>
              <w:t xml:space="preserve">Tài nguyên và Môi trường </w:t>
            </w:r>
            <w:r>
              <w:rPr>
                <w:bCs/>
                <w:sz w:val="24"/>
                <w:szCs w:val="24"/>
                <w:lang w:val="vi-VN"/>
              </w:rPr>
              <w:t xml:space="preserve"> thành phố Tây Ninh</w:t>
            </w:r>
          </w:p>
        </w:tc>
        <w:tc>
          <w:tcPr>
            <w:tcW w:w="2694" w:type="dxa"/>
          </w:tcPr>
          <w:p w:rsidR="0030595C" w:rsidRDefault="00B506FC">
            <w:pPr>
              <w:spacing w:before="120" w:after="120" w:line="240" w:lineRule="auto"/>
              <w:jc w:val="both"/>
              <w:rPr>
                <w:bCs/>
                <w:sz w:val="24"/>
                <w:szCs w:val="24"/>
                <w:lang w:val="vi-VN"/>
              </w:rPr>
            </w:pPr>
            <w:r>
              <w:rPr>
                <w:color w:val="000000" w:themeColor="text1"/>
                <w:sz w:val="24"/>
                <w:szCs w:val="24"/>
              </w:rPr>
              <w:t xml:space="preserve">Bị thay thế bởi Quyết định số 03/2021/QĐ-UBND ngày 30 tháng 11 năm 2021 của </w:t>
            </w:r>
            <w:r w:rsidR="00CC5147">
              <w:rPr>
                <w:color w:val="000000" w:themeColor="text1"/>
                <w:sz w:val="24"/>
                <w:szCs w:val="24"/>
              </w:rPr>
              <w:t xml:space="preserve">Ủy ban nhân dân thành phố Tây Ninh </w:t>
            </w:r>
            <w:r>
              <w:rPr>
                <w:color w:val="000000" w:themeColor="text1"/>
                <w:sz w:val="24"/>
                <w:szCs w:val="24"/>
              </w:rPr>
              <w:t xml:space="preserve">về </w:t>
            </w:r>
            <w:r>
              <w:rPr>
                <w:bCs/>
                <w:sz w:val="24"/>
                <w:szCs w:val="24"/>
                <w:lang w:val="vi-VN"/>
              </w:rPr>
              <w:t xml:space="preserve">việc ban hành Quy định về chức năng, nhiệm vụ, quyền hạn và cơ cấu tổ chức của Phòng </w:t>
            </w:r>
            <w:r>
              <w:rPr>
                <w:bCs/>
                <w:sz w:val="24"/>
                <w:szCs w:val="24"/>
              </w:rPr>
              <w:t>Tài nguyên và Môi trường</w:t>
            </w:r>
            <w:r>
              <w:rPr>
                <w:bCs/>
                <w:sz w:val="24"/>
                <w:szCs w:val="24"/>
                <w:lang w:val="vi-VN"/>
              </w:rPr>
              <w:t xml:space="preserve"> thành phố Tây Ninh</w:t>
            </w:r>
          </w:p>
          <w:p w:rsidR="0030595C" w:rsidRDefault="0030595C">
            <w:pPr>
              <w:spacing w:before="120" w:after="120" w:line="240" w:lineRule="auto"/>
              <w:jc w:val="both"/>
              <w:rPr>
                <w:bCs/>
                <w:sz w:val="24"/>
                <w:szCs w:val="24"/>
                <w:lang w:val="vi-VN"/>
              </w:rPr>
            </w:pPr>
          </w:p>
          <w:p w:rsidR="0030595C" w:rsidRDefault="0030595C">
            <w:pPr>
              <w:spacing w:before="120" w:after="120" w:line="240" w:lineRule="auto"/>
              <w:jc w:val="both"/>
              <w:rPr>
                <w:bCs/>
                <w:sz w:val="24"/>
                <w:szCs w:val="24"/>
                <w:lang w:val="vi-VN"/>
              </w:rPr>
            </w:pPr>
          </w:p>
        </w:tc>
        <w:tc>
          <w:tcPr>
            <w:tcW w:w="1464" w:type="dxa"/>
          </w:tcPr>
          <w:p w:rsidR="0030595C" w:rsidRDefault="00B506FC">
            <w:pPr>
              <w:spacing w:before="120" w:after="120" w:line="240" w:lineRule="auto"/>
              <w:jc w:val="center"/>
              <w:rPr>
                <w:color w:val="000000"/>
                <w:sz w:val="26"/>
                <w:szCs w:val="26"/>
              </w:rPr>
            </w:pPr>
            <w:r>
              <w:rPr>
                <w:color w:val="000000"/>
                <w:sz w:val="26"/>
                <w:szCs w:val="26"/>
              </w:rPr>
              <w:t>6/12/2021</w:t>
            </w:r>
          </w:p>
        </w:tc>
      </w:tr>
      <w:tr w:rsidR="0030595C" w:rsidTr="00CC5147">
        <w:tc>
          <w:tcPr>
            <w:tcW w:w="14668" w:type="dxa"/>
            <w:gridSpan w:val="6"/>
          </w:tcPr>
          <w:p w:rsidR="0030595C" w:rsidRDefault="00B506FC">
            <w:pPr>
              <w:spacing w:before="120" w:after="120" w:line="240" w:lineRule="auto"/>
              <w:jc w:val="center"/>
              <w:rPr>
                <w:color w:val="000000"/>
                <w:sz w:val="26"/>
                <w:szCs w:val="26"/>
              </w:rPr>
            </w:pPr>
            <w:r>
              <w:rPr>
                <w:b/>
                <w:bCs/>
                <w:color w:val="000000"/>
                <w:sz w:val="26"/>
                <w:szCs w:val="26"/>
              </w:rPr>
              <w:t xml:space="preserve">Tổng cộng: 09 văn bản quy phạm pháp luật (06 Nghị quyết, </w:t>
            </w:r>
            <w:r w:rsidR="00794813">
              <w:rPr>
                <w:b/>
                <w:bCs/>
                <w:color w:val="000000"/>
                <w:sz w:val="26"/>
                <w:szCs w:val="26"/>
              </w:rPr>
              <w:t>0</w:t>
            </w:r>
            <w:r>
              <w:rPr>
                <w:b/>
                <w:bCs/>
                <w:color w:val="000000"/>
                <w:sz w:val="26"/>
                <w:szCs w:val="26"/>
              </w:rPr>
              <w:t>3 Quyết định)</w:t>
            </w:r>
          </w:p>
        </w:tc>
      </w:tr>
    </w:tbl>
    <w:p w:rsidR="0030595C" w:rsidRDefault="0030595C"/>
    <w:p w:rsidR="0030595C" w:rsidRDefault="0030595C"/>
    <w:sectPr w:rsidR="0030595C" w:rsidSect="00021144">
      <w:pgSz w:w="15840" w:h="12240" w:orient="landscape"/>
      <w:pgMar w:top="900" w:right="956" w:bottom="89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82" w:rsidRDefault="00C32D82">
      <w:pPr>
        <w:spacing w:line="240" w:lineRule="auto"/>
      </w:pPr>
      <w:r>
        <w:separator/>
      </w:r>
    </w:p>
  </w:endnote>
  <w:endnote w:type="continuationSeparator" w:id="0">
    <w:p w:rsidR="00C32D82" w:rsidRDefault="00C32D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82" w:rsidRDefault="00C32D82">
      <w:pPr>
        <w:spacing w:after="0"/>
      </w:pPr>
      <w:r>
        <w:separator/>
      </w:r>
    </w:p>
  </w:footnote>
  <w:footnote w:type="continuationSeparator" w:id="0">
    <w:p w:rsidR="00C32D82" w:rsidRDefault="00C32D8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DA6BBC"/>
    <w:rsid w:val="00021144"/>
    <w:rsid w:val="000D5362"/>
    <w:rsid w:val="000E64A5"/>
    <w:rsid w:val="00133282"/>
    <w:rsid w:val="00150AC1"/>
    <w:rsid w:val="00160E0F"/>
    <w:rsid w:val="00181DF2"/>
    <w:rsid w:val="00183180"/>
    <w:rsid w:val="001911E4"/>
    <w:rsid w:val="001C0564"/>
    <w:rsid w:val="0026007A"/>
    <w:rsid w:val="00277760"/>
    <w:rsid w:val="002E5590"/>
    <w:rsid w:val="003035F1"/>
    <w:rsid w:val="0030595C"/>
    <w:rsid w:val="00315C06"/>
    <w:rsid w:val="003C4839"/>
    <w:rsid w:val="003C6034"/>
    <w:rsid w:val="00432F49"/>
    <w:rsid w:val="004B16E7"/>
    <w:rsid w:val="004C463F"/>
    <w:rsid w:val="00506279"/>
    <w:rsid w:val="00551AD2"/>
    <w:rsid w:val="005B0AE8"/>
    <w:rsid w:val="005C405B"/>
    <w:rsid w:val="005C5CD6"/>
    <w:rsid w:val="005D1836"/>
    <w:rsid w:val="006164E2"/>
    <w:rsid w:val="006250C2"/>
    <w:rsid w:val="00666D29"/>
    <w:rsid w:val="006747CA"/>
    <w:rsid w:val="006765BF"/>
    <w:rsid w:val="0069542F"/>
    <w:rsid w:val="006A2FCF"/>
    <w:rsid w:val="006A3101"/>
    <w:rsid w:val="006E1FA1"/>
    <w:rsid w:val="006F40C9"/>
    <w:rsid w:val="0070292A"/>
    <w:rsid w:val="00754336"/>
    <w:rsid w:val="00794813"/>
    <w:rsid w:val="00797B1A"/>
    <w:rsid w:val="007D1F05"/>
    <w:rsid w:val="00854A17"/>
    <w:rsid w:val="009121F1"/>
    <w:rsid w:val="009610D7"/>
    <w:rsid w:val="00993D43"/>
    <w:rsid w:val="009F0B36"/>
    <w:rsid w:val="00A355E8"/>
    <w:rsid w:val="00AB1105"/>
    <w:rsid w:val="00B35A23"/>
    <w:rsid w:val="00B506FC"/>
    <w:rsid w:val="00B64294"/>
    <w:rsid w:val="00B752C0"/>
    <w:rsid w:val="00B868EB"/>
    <w:rsid w:val="00B96560"/>
    <w:rsid w:val="00BA3B01"/>
    <w:rsid w:val="00BB2715"/>
    <w:rsid w:val="00BE4C70"/>
    <w:rsid w:val="00C06D47"/>
    <w:rsid w:val="00C32D82"/>
    <w:rsid w:val="00C91B8C"/>
    <w:rsid w:val="00C96339"/>
    <w:rsid w:val="00CB1A4B"/>
    <w:rsid w:val="00CC5147"/>
    <w:rsid w:val="00CD0875"/>
    <w:rsid w:val="00D47597"/>
    <w:rsid w:val="00DA6BBC"/>
    <w:rsid w:val="00DE0239"/>
    <w:rsid w:val="00DF40EB"/>
    <w:rsid w:val="00E15C6F"/>
    <w:rsid w:val="00E22B53"/>
    <w:rsid w:val="00E76ED5"/>
    <w:rsid w:val="00EC51C4"/>
    <w:rsid w:val="00ED53B1"/>
    <w:rsid w:val="00EE0827"/>
    <w:rsid w:val="00F449AA"/>
    <w:rsid w:val="00F766CA"/>
    <w:rsid w:val="00FC13E4"/>
    <w:rsid w:val="00FF2E1A"/>
    <w:rsid w:val="4796550B"/>
    <w:rsid w:val="490A5F74"/>
    <w:rsid w:val="7114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2114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23D49-85B8-4A1A-97DF-AF760E4A68E9}">
  <ds:schemaRefs>
    <ds:schemaRef ds:uri="http://schemas.openxmlformats.org/officeDocument/2006/bibliography"/>
  </ds:schemaRefs>
</ds:datastoreItem>
</file>

<file path=customXml/itemProps3.xml><?xml version="1.0" encoding="utf-8"?>
<ds:datastoreItem xmlns:ds="http://schemas.openxmlformats.org/officeDocument/2006/customXml" ds:itemID="{578339FE-6081-48B9-95FB-339C7E2F2D64}"/>
</file>

<file path=customXml/itemProps4.xml><?xml version="1.0" encoding="utf-8"?>
<ds:datastoreItem xmlns:ds="http://schemas.openxmlformats.org/officeDocument/2006/customXml" ds:itemID="{A6B9A2FA-DC63-4E63-A5E1-2CA24E9051D1}"/>
</file>

<file path=customXml/itemProps5.xml><?xml version="1.0" encoding="utf-8"?>
<ds:datastoreItem xmlns:ds="http://schemas.openxmlformats.org/officeDocument/2006/customXml" ds:itemID="{5BAAAF64-6A96-4C64-A939-6D1C98C51A15}"/>
</file>

<file path=docProps/app.xml><?xml version="1.0" encoding="utf-8"?>
<Properties xmlns="http://schemas.openxmlformats.org/officeDocument/2006/extended-properties" xmlns:vt="http://schemas.openxmlformats.org/officeDocument/2006/docPropsVTypes">
  <Template>Normal</Template>
  <TotalTime>2</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uyen</dc:creator>
  <cp:keywords/>
  <dc:description/>
  <cp:lastModifiedBy>pc</cp:lastModifiedBy>
  <cp:revision>2</cp:revision>
  <cp:lastPrinted>2021-01-28T00:50:00Z</cp:lastPrinted>
  <dcterms:created xsi:type="dcterms:W3CDTF">2022-01-12T02:42:00Z</dcterms:created>
  <dcterms:modified xsi:type="dcterms:W3CDTF">2022-01-12T02:42:00Z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65F94F187211432E8FB5D096D892BB6F</vt:lpwstr>
  </property>
  <property fmtid="{D5CDD505-2E9C-101B-9397-08002B2CF9AE}" pid="4" name="ContentTypeId">
    <vt:lpwstr>0x0101009148F5A04DDD49CBA7127AADA5FB792B00AADE34325A8B49CDA8BB4DB53328F214001FB32B77BC6BCE469A20AE84AF97AF47</vt:lpwstr>
  </property>
</Properties>
</file>