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3B" w:rsidRPr="00D67E19" w:rsidRDefault="00F1703B" w:rsidP="00F1703B">
      <w:pPr>
        <w:tabs>
          <w:tab w:val="center" w:pos="1260"/>
          <w:tab w:val="center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D67E19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Mẫu số </w:t>
      </w:r>
      <w:r w:rsidR="00B20968" w:rsidRPr="00D67E19">
        <w:rPr>
          <w:rFonts w:ascii="Times New Roman" w:hAnsi="Times New Roman" w:cs="Times New Roman"/>
          <w:b/>
          <w:color w:val="000000"/>
          <w:sz w:val="26"/>
          <w:szCs w:val="26"/>
        </w:rPr>
        <w:t>06</w:t>
      </w:r>
    </w:p>
    <w:p w:rsidR="00F1703B" w:rsidRPr="00D67E19" w:rsidRDefault="00F1703B" w:rsidP="00F1703B">
      <w:pPr>
        <w:tabs>
          <w:tab w:val="center" w:pos="1260"/>
          <w:tab w:val="center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7E19">
        <w:rPr>
          <w:rFonts w:ascii="Times New Roman" w:hAnsi="Times New Roman" w:cs="Times New Roman"/>
          <w:b/>
          <w:sz w:val="26"/>
          <w:szCs w:val="26"/>
        </w:rPr>
        <w:t>DANH MỤC</w:t>
      </w:r>
    </w:p>
    <w:p w:rsidR="00F1703B" w:rsidRPr="00D67E19" w:rsidRDefault="00F1703B" w:rsidP="00B20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67E19">
        <w:rPr>
          <w:rFonts w:ascii="Times New Roman" w:hAnsi="Times New Roman" w:cs="Times New Roman"/>
          <w:b/>
          <w:sz w:val="26"/>
          <w:szCs w:val="26"/>
          <w:lang w:val="vi-VN"/>
        </w:rPr>
        <w:t xml:space="preserve">Văn bản quy phạm pháp luật </w:t>
      </w:r>
      <w:r w:rsidR="00B20968" w:rsidRPr="00D67E19">
        <w:rPr>
          <w:rFonts w:ascii="Times New Roman" w:hAnsi="Times New Roman" w:cs="Times New Roman"/>
          <w:b/>
          <w:sz w:val="26"/>
          <w:szCs w:val="26"/>
        </w:rPr>
        <w:t>cần đình chỉ việc thi hành, ngưng hiệu lực, sửa đổi, bổ sung, thay thế, bãi bỏ hoặc ban hành mới</w:t>
      </w:r>
      <w:r w:rsidRPr="00D67E1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thuộc lĩnh vực quản lý nhà nướ</w:t>
      </w:r>
      <w:r w:rsidR="00B20968" w:rsidRPr="00D67E19">
        <w:rPr>
          <w:rFonts w:ascii="Times New Roman" w:hAnsi="Times New Roman" w:cs="Times New Roman"/>
          <w:b/>
          <w:sz w:val="26"/>
          <w:szCs w:val="26"/>
          <w:lang w:val="vi-VN"/>
        </w:rPr>
        <w:t>c</w:t>
      </w:r>
      <w:r w:rsidRPr="00D67E1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của Hội đồng nhân dân, Ủy ban nhân dân</w:t>
      </w:r>
      <w:r w:rsidR="00155B70" w:rsidRPr="00D67E19">
        <w:rPr>
          <w:rFonts w:ascii="Times New Roman" w:hAnsi="Times New Roman" w:cs="Times New Roman"/>
          <w:b/>
          <w:sz w:val="26"/>
          <w:szCs w:val="26"/>
        </w:rPr>
        <w:t xml:space="preserve"> thành phố Tây Ninh</w:t>
      </w:r>
      <w:r w:rsidR="00155B70" w:rsidRPr="00D67E1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D67E19">
        <w:rPr>
          <w:rFonts w:ascii="Times New Roman" w:hAnsi="Times New Roman" w:cs="Times New Roman"/>
          <w:b/>
          <w:sz w:val="26"/>
          <w:szCs w:val="26"/>
          <w:lang w:val="vi-VN"/>
        </w:rPr>
        <w:t>trong kỳ hệ thống hóa 2019-2023</w:t>
      </w:r>
    </w:p>
    <w:p w:rsidR="00F1703B" w:rsidRPr="00D67E19" w:rsidRDefault="00F1703B" w:rsidP="00F1703B">
      <w:pPr>
        <w:rPr>
          <w:rFonts w:ascii="Times New Roman" w:hAnsi="Times New Roman" w:cs="Times New Roman"/>
          <w:b/>
          <w:sz w:val="26"/>
          <w:szCs w:val="26"/>
        </w:rPr>
      </w:pPr>
      <w:r w:rsidRPr="00D67E1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8511" wp14:editId="646EBA62">
                <wp:simplePos x="0" y="0"/>
                <wp:positionH relativeFrom="column">
                  <wp:posOffset>4091305</wp:posOffset>
                </wp:positionH>
                <wp:positionV relativeFrom="paragraph">
                  <wp:posOffset>46990</wp:posOffset>
                </wp:positionV>
                <wp:extent cx="1409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09B93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3.7pt" to="43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FAtgEAALcDAAAOAAAAZHJzL2Uyb0RvYy54bWysU02PEzEMvSPxH6Lc6UxXLB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60"/>
        <w:gridCol w:w="2048"/>
        <w:gridCol w:w="3969"/>
        <w:gridCol w:w="2298"/>
        <w:gridCol w:w="2298"/>
        <w:gridCol w:w="1671"/>
        <w:gridCol w:w="1134"/>
      </w:tblGrid>
      <w:tr w:rsidR="00022595" w:rsidRPr="002E50E9" w:rsidTr="00022595">
        <w:trPr>
          <w:trHeight w:val="897"/>
          <w:tblHeader/>
          <w:jc w:val="center"/>
        </w:trPr>
        <w:tc>
          <w:tcPr>
            <w:tcW w:w="840" w:type="dxa"/>
            <w:vAlign w:val="center"/>
          </w:tcPr>
          <w:p w:rsidR="00022595" w:rsidRPr="002E50E9" w:rsidRDefault="00022595" w:rsidP="0003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360" w:type="dxa"/>
            <w:vAlign w:val="center"/>
          </w:tcPr>
          <w:p w:rsidR="00022595" w:rsidRPr="002E50E9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loại </w:t>
            </w:r>
          </w:p>
          <w:p w:rsidR="00022595" w:rsidRPr="002E50E9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văn bản</w:t>
            </w:r>
          </w:p>
        </w:tc>
        <w:tc>
          <w:tcPr>
            <w:tcW w:w="2048" w:type="dxa"/>
            <w:vAlign w:val="center"/>
          </w:tcPr>
          <w:p w:rsidR="00022595" w:rsidRPr="002E50E9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Số, ký hiệu, ngày, tháng, năm ban hành văn bản</w:t>
            </w:r>
          </w:p>
        </w:tc>
        <w:tc>
          <w:tcPr>
            <w:tcW w:w="3969" w:type="dxa"/>
            <w:vAlign w:val="center"/>
          </w:tcPr>
          <w:p w:rsidR="00022595" w:rsidRPr="002E50E9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gọi văn bản</w:t>
            </w:r>
          </w:p>
        </w:tc>
        <w:tc>
          <w:tcPr>
            <w:tcW w:w="2298" w:type="dxa"/>
          </w:tcPr>
          <w:p w:rsidR="00022595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595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Kiến nghị (đình chỉ thi hành, ngưng hiệu lực, sửa đổi, bổ sung, thay thế, bãi bỏ hoặc ban hành mới)</w:t>
            </w:r>
          </w:p>
        </w:tc>
        <w:tc>
          <w:tcPr>
            <w:tcW w:w="2298" w:type="dxa"/>
            <w:vAlign w:val="center"/>
          </w:tcPr>
          <w:p w:rsidR="00022595" w:rsidRPr="009B6ACC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nghị/lý do kiến nghị</w:t>
            </w:r>
          </w:p>
        </w:tc>
        <w:tc>
          <w:tcPr>
            <w:tcW w:w="1671" w:type="dxa"/>
          </w:tcPr>
          <w:p w:rsidR="00022595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Cơ quan/đơn vị chủ trì soạn thảo</w:t>
            </w:r>
          </w:p>
        </w:tc>
        <w:tc>
          <w:tcPr>
            <w:tcW w:w="1134" w:type="dxa"/>
          </w:tcPr>
          <w:p w:rsidR="00022595" w:rsidRPr="009B6ACC" w:rsidRDefault="00022595" w:rsidP="00BA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hạn xử lý hoặc kiến nghị xử lý/tình hình xây dựng</w:t>
            </w:r>
          </w:p>
        </w:tc>
      </w:tr>
      <w:tr w:rsidR="00022595" w:rsidRPr="002E50E9" w:rsidTr="00681ECE">
        <w:trPr>
          <w:trHeight w:val="897"/>
          <w:jc w:val="center"/>
        </w:trPr>
        <w:tc>
          <w:tcPr>
            <w:tcW w:w="15618" w:type="dxa"/>
            <w:gridSpan w:val="8"/>
            <w:vAlign w:val="center"/>
          </w:tcPr>
          <w:p w:rsidR="00022595" w:rsidRPr="00022595" w:rsidRDefault="00E47E39" w:rsidP="00022595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22595" w:rsidRPr="0002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LĨNH VỰ</w:t>
            </w:r>
            <w:r w:rsidR="00D67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 TÀI CHÍNH - KẾ HOẠCH</w:t>
            </w:r>
          </w:p>
        </w:tc>
      </w:tr>
      <w:tr w:rsidR="00D67E19" w:rsidRPr="002E50E9" w:rsidTr="00D67E19">
        <w:trPr>
          <w:trHeight w:val="897"/>
          <w:jc w:val="center"/>
        </w:trPr>
        <w:tc>
          <w:tcPr>
            <w:tcW w:w="840" w:type="dxa"/>
          </w:tcPr>
          <w:p w:rsidR="00D67E19" w:rsidRDefault="00D67E19" w:rsidP="00D67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E19" w:rsidRPr="00390758" w:rsidRDefault="00D67E19" w:rsidP="00D67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67E19" w:rsidRDefault="00D67E19" w:rsidP="00D67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E19" w:rsidRPr="00390758" w:rsidRDefault="00D67E19" w:rsidP="00D67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048" w:type="dxa"/>
          </w:tcPr>
          <w:p w:rsidR="00D67E19" w:rsidRDefault="00D67E19" w:rsidP="00D67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E19" w:rsidRPr="00390758" w:rsidRDefault="00D67E19" w:rsidP="00D67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12/2015/NQ-HĐND ngày 18/12/2015</w:t>
            </w:r>
          </w:p>
        </w:tc>
        <w:tc>
          <w:tcPr>
            <w:tcW w:w="3969" w:type="dxa"/>
          </w:tcPr>
          <w:p w:rsidR="00D67E19" w:rsidRDefault="00D67E19" w:rsidP="00D67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E19" w:rsidRPr="00390758" w:rsidRDefault="00D67E19" w:rsidP="00D67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 hoạch phát triển KTXH TPTN 5 năm giai đoạn 2016-2020</w:t>
            </w:r>
          </w:p>
        </w:tc>
        <w:tc>
          <w:tcPr>
            <w:tcW w:w="2298" w:type="dxa"/>
          </w:tcPr>
          <w:p w:rsidR="00D67E19" w:rsidRDefault="00D67E19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E19" w:rsidRPr="00390758" w:rsidRDefault="00D67E19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</w:p>
          <w:p w:rsidR="00D67E19" w:rsidRDefault="00D67E19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D67E19" w:rsidRDefault="00D67E19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7E19" w:rsidRDefault="00FD36D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Lý do: hết thời gian thực hiện</w:t>
            </w:r>
          </w:p>
          <w:p w:rsidR="00D67E19" w:rsidRDefault="00D67E19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E19" w:rsidRDefault="00D67E19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D67E19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 Tài chính - Kế hoạch  thành phố</w:t>
            </w:r>
          </w:p>
        </w:tc>
        <w:tc>
          <w:tcPr>
            <w:tcW w:w="1134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D67E19" w:rsidRDefault="00D67E19" w:rsidP="00D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A3" w:rsidRPr="002E50E9" w:rsidTr="006132A3">
        <w:trPr>
          <w:trHeight w:val="897"/>
          <w:jc w:val="center"/>
        </w:trPr>
        <w:tc>
          <w:tcPr>
            <w:tcW w:w="840" w:type="dxa"/>
          </w:tcPr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048" w:type="dxa"/>
          </w:tcPr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07/2016/NQ-HĐND ngày 19/12/2016</w:t>
            </w:r>
          </w:p>
        </w:tc>
        <w:tc>
          <w:tcPr>
            <w:tcW w:w="3969" w:type="dxa"/>
          </w:tcPr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phương án phân bổ dự toán chi thường xuyên ngân sách thành phố Tây Ninh và xã, phường năm 2017 (giai đoạ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2017-2020)</w:t>
            </w:r>
          </w:p>
        </w:tc>
        <w:tc>
          <w:tcPr>
            <w:tcW w:w="2298" w:type="dxa"/>
          </w:tcPr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</w:p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36D3" w:rsidRDefault="00FD36D3" w:rsidP="00FD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Lý do: hết thời gian thực hiện</w:t>
            </w:r>
          </w:p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 Tài chính - Kế hoạch  thành phố</w:t>
            </w:r>
          </w:p>
        </w:tc>
        <w:tc>
          <w:tcPr>
            <w:tcW w:w="1134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A3" w:rsidRPr="002E50E9" w:rsidTr="006132A3">
        <w:trPr>
          <w:trHeight w:val="897"/>
          <w:jc w:val="center"/>
        </w:trPr>
        <w:tc>
          <w:tcPr>
            <w:tcW w:w="840" w:type="dxa"/>
          </w:tcPr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2048" w:type="dxa"/>
          </w:tcPr>
          <w:p w:rsidR="006132A3" w:rsidRDefault="006132A3" w:rsidP="00613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04/2020/NQ-HĐND ngày 04/9/2020</w:t>
            </w:r>
          </w:p>
        </w:tc>
        <w:tc>
          <w:tcPr>
            <w:tcW w:w="3969" w:type="dxa"/>
          </w:tcPr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Nghị quyết về sửa đổi,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bổ sung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danh mục thuộc kế hoạch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đầu tư công trung hạn 5 năm (giai đoạn 2016-2020)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nguồn vốn ngân sách thành phố</w:t>
            </w:r>
          </w:p>
          <w:p w:rsidR="006132A3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8841CE" w:rsidRDefault="006132A3" w:rsidP="0061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390758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 nghị ban hành văn bản bãi bỏ</w:t>
            </w:r>
          </w:p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36D3" w:rsidRDefault="00FD36D3" w:rsidP="00FD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Lý do: hết thời gian thực hiện</w:t>
            </w:r>
          </w:p>
          <w:p w:rsidR="006132A3" w:rsidRDefault="006132A3" w:rsidP="0061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 Tài chính - Kế hoạch  thành phố</w:t>
            </w:r>
          </w:p>
        </w:tc>
        <w:tc>
          <w:tcPr>
            <w:tcW w:w="1134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A3" w:rsidRPr="002E50E9" w:rsidTr="00B81201">
        <w:trPr>
          <w:trHeight w:val="897"/>
          <w:jc w:val="center"/>
        </w:trPr>
        <w:tc>
          <w:tcPr>
            <w:tcW w:w="15618" w:type="dxa"/>
            <w:gridSpan w:val="8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2A3" w:rsidRPr="00D67E19" w:rsidRDefault="00E47E39" w:rsidP="006132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132A3" w:rsidRPr="00D67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LĨNH VỰC VĂN PHÒNG</w:t>
            </w:r>
          </w:p>
        </w:tc>
      </w:tr>
      <w:tr w:rsidR="006132A3" w:rsidRPr="002E50E9" w:rsidTr="00D67E19">
        <w:trPr>
          <w:trHeight w:val="897"/>
          <w:jc w:val="center"/>
        </w:trPr>
        <w:tc>
          <w:tcPr>
            <w:tcW w:w="840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A3" w:rsidRPr="002E50E9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6132A3" w:rsidRDefault="006132A3" w:rsidP="006132A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2A3" w:rsidRPr="002E50E9" w:rsidRDefault="006132A3" w:rsidP="006132A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2048" w:type="dxa"/>
          </w:tcPr>
          <w:p w:rsidR="006132A3" w:rsidRDefault="006132A3" w:rsidP="006132A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2E50E9" w:rsidRDefault="006132A3" w:rsidP="006132A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02/2014/QĐ-UBND ngày 24/12/2014</w:t>
            </w:r>
          </w:p>
        </w:tc>
        <w:tc>
          <w:tcPr>
            <w:tcW w:w="3969" w:type="dxa"/>
          </w:tcPr>
          <w:p w:rsidR="006132A3" w:rsidRDefault="006132A3" w:rsidP="006132A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A3" w:rsidRPr="002E50E9" w:rsidRDefault="006132A3" w:rsidP="006132A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 hành quy định chức năng, nhiệm vụ, quyền hạn và cơ cấu tổ chức của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ăn phòng HĐND-UBND t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phố</w:t>
            </w:r>
          </w:p>
        </w:tc>
        <w:tc>
          <w:tcPr>
            <w:tcW w:w="2298" w:type="dxa"/>
          </w:tcPr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nghị ban hành văn bản mới thay thế</w:t>
            </w:r>
          </w:p>
        </w:tc>
        <w:tc>
          <w:tcPr>
            <w:tcW w:w="2298" w:type="dxa"/>
          </w:tcPr>
          <w:p w:rsidR="006132A3" w:rsidRDefault="006132A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2A3" w:rsidRPr="002E50E9" w:rsidRDefault="00FD36D3" w:rsidP="006132A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do:</w:t>
            </w:r>
            <w:r w:rsidR="0061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căn cứ pháp lý ban hành văn bản QPPL hết hiệu lực thi hành</w:t>
            </w:r>
          </w:p>
        </w:tc>
        <w:tc>
          <w:tcPr>
            <w:tcW w:w="1671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 phòng HĐND và UBND thành phố</w:t>
            </w:r>
          </w:p>
        </w:tc>
        <w:tc>
          <w:tcPr>
            <w:tcW w:w="1134" w:type="dxa"/>
          </w:tcPr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A3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A3" w:rsidRPr="002E50E9" w:rsidRDefault="006132A3" w:rsidP="0061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3" w:rsidRPr="002E50E9" w:rsidTr="00D67E19">
        <w:trPr>
          <w:trHeight w:val="897"/>
          <w:jc w:val="center"/>
        </w:trPr>
        <w:tc>
          <w:tcPr>
            <w:tcW w:w="840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Pr="002E50E9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Pr="002E50E9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2048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01/2015/QĐ-UBND ngày 02/12/2015</w:t>
            </w:r>
          </w:p>
          <w:p w:rsidR="00FD36D3" w:rsidRPr="002E50E9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Pr="002E50E9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 hành Quy chế quản lý, vận hành và sử dụng hệ thống Một cửa điện tử tạ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phố Tây Ninh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nghị ban hành văn bản bãi bỏ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Pr="002E50E9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do: căn cứ pháp lý ban hành văn bản QPPL hết hiệu lực thi hành</w:t>
            </w:r>
          </w:p>
        </w:tc>
        <w:tc>
          <w:tcPr>
            <w:tcW w:w="1671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Pr="002E50E9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 phòng HĐND và UBND thành phố</w:t>
            </w:r>
          </w:p>
        </w:tc>
        <w:tc>
          <w:tcPr>
            <w:tcW w:w="1134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Pr="002E50E9" w:rsidRDefault="00FD36D3" w:rsidP="00FD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3" w:rsidRPr="002E50E9" w:rsidTr="00D67E19">
        <w:trPr>
          <w:trHeight w:val="897"/>
          <w:jc w:val="center"/>
        </w:trPr>
        <w:tc>
          <w:tcPr>
            <w:tcW w:w="840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Pr="002E50E9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FD36D3" w:rsidRDefault="00FD36D3" w:rsidP="00FD3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D3" w:rsidRPr="00390758" w:rsidRDefault="00FD36D3" w:rsidP="00FD3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2048" w:type="dxa"/>
          </w:tcPr>
          <w:p w:rsidR="00FD36D3" w:rsidRDefault="00FD36D3" w:rsidP="00FD3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D3" w:rsidRPr="00390758" w:rsidRDefault="00FD36D3" w:rsidP="00FD3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03/2017/QĐ-UBND ngày 18/7/2017</w:t>
            </w:r>
          </w:p>
        </w:tc>
        <w:tc>
          <w:tcPr>
            <w:tcW w:w="3969" w:type="dxa"/>
          </w:tcPr>
          <w:p w:rsidR="00FD36D3" w:rsidRDefault="00FD36D3" w:rsidP="00FD3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D3" w:rsidRPr="00390758" w:rsidRDefault="00FD36D3" w:rsidP="00FD3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Y tế thành phố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D3" w:rsidRPr="00390758" w:rsidRDefault="00FD36D3" w:rsidP="00FD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nghị ban hành văn bản bãi bỏ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Lý do: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 Y tế đã giải thể theo Nghị quyết số 10/NQ-HĐND ngày 24/6/2022</w:t>
            </w:r>
          </w:p>
          <w:p w:rsidR="00FD36D3" w:rsidRPr="002E50E9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FD36D3" w:rsidRPr="002E50E9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 phòng HĐND và UBND thành phố</w:t>
            </w:r>
          </w:p>
        </w:tc>
        <w:tc>
          <w:tcPr>
            <w:tcW w:w="1134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Pr="002E50E9" w:rsidRDefault="00FD36D3" w:rsidP="00FD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3" w:rsidRPr="002E50E9" w:rsidTr="00C7442A">
        <w:trPr>
          <w:trHeight w:val="897"/>
          <w:jc w:val="center"/>
        </w:trPr>
        <w:tc>
          <w:tcPr>
            <w:tcW w:w="15618" w:type="dxa"/>
            <w:gridSpan w:val="8"/>
            <w:vAlign w:val="center"/>
          </w:tcPr>
          <w:p w:rsidR="00FD36D3" w:rsidRPr="00022595" w:rsidRDefault="00E47E39" w:rsidP="00FD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D36D3" w:rsidRPr="00022595">
              <w:rPr>
                <w:rFonts w:ascii="Times New Roman" w:hAnsi="Times New Roman" w:cs="Times New Roman"/>
                <w:b/>
                <w:sz w:val="24"/>
                <w:szCs w:val="24"/>
              </w:rPr>
              <w:t>. LĨNH VỰC ĐÔ THỊ</w:t>
            </w:r>
          </w:p>
        </w:tc>
      </w:tr>
      <w:tr w:rsidR="00FD36D3" w:rsidRPr="002E50E9" w:rsidTr="00D67E19">
        <w:trPr>
          <w:trHeight w:val="897"/>
          <w:jc w:val="center"/>
        </w:trPr>
        <w:tc>
          <w:tcPr>
            <w:tcW w:w="840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2048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05/2016/QĐ-UBND ngày 28/6/2016 </w:t>
            </w:r>
          </w:p>
        </w:tc>
        <w:tc>
          <w:tcPr>
            <w:tcW w:w="3969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Ban hành Quy chế quản lý quy hoạch, kiến trúc đô thị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hành phố Tây Ninh, tỉnh Tây Ninh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nghị ban hành văn bản bãi bỏ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6674CB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do:</w:t>
            </w:r>
            <w:r w:rsidR="00FD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căn cứ pháp lý ban hành văn bản QPPL hết hiệu lực thi hành</w:t>
            </w:r>
          </w:p>
        </w:tc>
        <w:tc>
          <w:tcPr>
            <w:tcW w:w="1671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Phòng Quản lý đô thị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1134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6674CB" w:rsidRDefault="006674CB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Default="006674CB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Default="006674CB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Default="006674CB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Pr="002E50E9" w:rsidRDefault="006674CB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3" w:rsidRPr="002E50E9" w:rsidTr="00D67E19">
        <w:trPr>
          <w:trHeight w:val="897"/>
          <w:jc w:val="center"/>
        </w:trPr>
        <w:tc>
          <w:tcPr>
            <w:tcW w:w="840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2048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57/2017/QĐ-UBND ngày 18/5/2017</w:t>
            </w:r>
          </w:p>
        </w:tc>
        <w:tc>
          <w:tcPr>
            <w:tcW w:w="3969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Ban hành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 định chức năng, nhiệm vụ, quyền hạn và cơ cấu tổ chức của Phòng Quản lý đô thị thành phố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nghị ban hành văn bản mới thay thế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6674CB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do:</w:t>
            </w:r>
            <w:r w:rsidR="00FD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căn cứ pháp lý ban hành văn bản QPPL hết hiệu lực thi hành</w:t>
            </w:r>
          </w:p>
        </w:tc>
        <w:tc>
          <w:tcPr>
            <w:tcW w:w="1671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Phòng Quản lý đô thị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1134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6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Default="006674CB" w:rsidP="006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Default="006674CB" w:rsidP="006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B" w:rsidRPr="002E50E9" w:rsidRDefault="006674CB" w:rsidP="006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3" w:rsidRPr="002E50E9" w:rsidTr="00F77063">
        <w:trPr>
          <w:trHeight w:val="897"/>
          <w:jc w:val="center"/>
        </w:trPr>
        <w:tc>
          <w:tcPr>
            <w:tcW w:w="15618" w:type="dxa"/>
            <w:gridSpan w:val="8"/>
            <w:vAlign w:val="center"/>
          </w:tcPr>
          <w:p w:rsidR="00FD36D3" w:rsidRPr="00022595" w:rsidRDefault="00BA1CF2" w:rsidP="00FD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D36D3" w:rsidRPr="00022595">
              <w:rPr>
                <w:rFonts w:ascii="Times New Roman" w:hAnsi="Times New Roman" w:cs="Times New Roman"/>
                <w:b/>
                <w:sz w:val="24"/>
                <w:szCs w:val="24"/>
              </w:rPr>
              <w:t>. LĨNH VỰC THANH TRA</w:t>
            </w:r>
          </w:p>
        </w:tc>
      </w:tr>
      <w:tr w:rsidR="00FD36D3" w:rsidRPr="002E50E9" w:rsidTr="001D73AE">
        <w:trPr>
          <w:trHeight w:val="897"/>
          <w:jc w:val="center"/>
        </w:trPr>
        <w:tc>
          <w:tcPr>
            <w:tcW w:w="840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2048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 08/2016/QĐ-UBND ngày 18/11/2016 </w:t>
            </w:r>
          </w:p>
        </w:tc>
        <w:tc>
          <w:tcPr>
            <w:tcW w:w="3969" w:type="dxa"/>
          </w:tcPr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Ban hành Quy định chức năng, nhiệm vụ, quyền hạn và cơ cấu tổ chức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Thanh tra t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hành phố 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nghị ban hành văn bản mới thay thế</w:t>
            </w:r>
          </w:p>
        </w:tc>
        <w:tc>
          <w:tcPr>
            <w:tcW w:w="2298" w:type="dxa"/>
          </w:tcPr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6D3" w:rsidRDefault="006674CB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Lý do: </w:t>
            </w:r>
            <w:r w:rsidR="00FD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căn cứ pháp lý ban hành văn bản QPPL hết hiệu lực thi hành</w:t>
            </w:r>
          </w:p>
          <w:p w:rsidR="00FD36D3" w:rsidRDefault="00FD36D3" w:rsidP="00FD3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Pr="002E50E9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Thanh tra thành phố</w:t>
            </w:r>
          </w:p>
        </w:tc>
        <w:tc>
          <w:tcPr>
            <w:tcW w:w="1134" w:type="dxa"/>
          </w:tcPr>
          <w:p w:rsidR="00FD36D3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D3" w:rsidRDefault="00FD36D3" w:rsidP="006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Năm 2024</w:t>
            </w:r>
          </w:p>
          <w:p w:rsidR="00FD36D3" w:rsidRPr="002E50E9" w:rsidRDefault="00FD36D3" w:rsidP="00F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3" w:rsidRPr="002E50E9" w:rsidTr="00690D8F">
        <w:trPr>
          <w:trHeight w:val="897"/>
          <w:jc w:val="center"/>
        </w:trPr>
        <w:tc>
          <w:tcPr>
            <w:tcW w:w="15618" w:type="dxa"/>
            <w:gridSpan w:val="8"/>
            <w:vAlign w:val="center"/>
          </w:tcPr>
          <w:p w:rsidR="00FD36D3" w:rsidRPr="004F63F5" w:rsidRDefault="00FD36D3" w:rsidP="00FD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Tổng số: </w:t>
            </w:r>
            <w:r w:rsidR="00667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văn bản </w:t>
            </w:r>
            <w:r w:rsidRPr="004F6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Nghị quyết, </w:t>
            </w:r>
            <w:r w:rsidR="006674C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F63F5">
              <w:rPr>
                <w:rFonts w:ascii="Times New Roman" w:hAnsi="Times New Roman" w:cs="Times New Roman"/>
                <w:sz w:val="24"/>
                <w:szCs w:val="24"/>
              </w:rPr>
              <w:t xml:space="preserve"> Quyết định)</w:t>
            </w:r>
          </w:p>
        </w:tc>
      </w:tr>
    </w:tbl>
    <w:p w:rsidR="0043249A" w:rsidRPr="002E50E9" w:rsidRDefault="0043249A">
      <w:pPr>
        <w:rPr>
          <w:rFonts w:ascii="Times New Roman" w:hAnsi="Times New Roman" w:cs="Times New Roman"/>
        </w:rPr>
      </w:pPr>
    </w:p>
    <w:sectPr w:rsidR="0043249A" w:rsidRPr="002E50E9" w:rsidSect="00022E1B">
      <w:pgSz w:w="16838" w:h="11906" w:orient="landscape"/>
      <w:pgMar w:top="851" w:right="851" w:bottom="426" w:left="567" w:header="403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A91"/>
    <w:multiLevelType w:val="hybridMultilevel"/>
    <w:tmpl w:val="46AA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E70"/>
    <w:multiLevelType w:val="hybridMultilevel"/>
    <w:tmpl w:val="CD889956"/>
    <w:lvl w:ilvl="0" w:tplc="B13C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0355E"/>
    <w:multiLevelType w:val="hybridMultilevel"/>
    <w:tmpl w:val="6018D826"/>
    <w:lvl w:ilvl="0" w:tplc="031E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2E17"/>
    <w:multiLevelType w:val="hybridMultilevel"/>
    <w:tmpl w:val="5860DF6A"/>
    <w:lvl w:ilvl="0" w:tplc="C02CE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B"/>
    <w:rsid w:val="00022595"/>
    <w:rsid w:val="00022E1B"/>
    <w:rsid w:val="00027803"/>
    <w:rsid w:val="00030785"/>
    <w:rsid w:val="000605AF"/>
    <w:rsid w:val="00071A40"/>
    <w:rsid w:val="00081B35"/>
    <w:rsid w:val="000E3E25"/>
    <w:rsid w:val="00155B70"/>
    <w:rsid w:val="001D73AE"/>
    <w:rsid w:val="002A3BB7"/>
    <w:rsid w:val="002D2919"/>
    <w:rsid w:val="002E50E9"/>
    <w:rsid w:val="003041EF"/>
    <w:rsid w:val="003352BD"/>
    <w:rsid w:val="0043249A"/>
    <w:rsid w:val="00443BAA"/>
    <w:rsid w:val="004D5289"/>
    <w:rsid w:val="004F63F5"/>
    <w:rsid w:val="006132A3"/>
    <w:rsid w:val="006674CB"/>
    <w:rsid w:val="007028A6"/>
    <w:rsid w:val="00715EE2"/>
    <w:rsid w:val="00724C1D"/>
    <w:rsid w:val="007D45EC"/>
    <w:rsid w:val="007E6A5B"/>
    <w:rsid w:val="008A2170"/>
    <w:rsid w:val="008B4525"/>
    <w:rsid w:val="00942E47"/>
    <w:rsid w:val="009B6ACC"/>
    <w:rsid w:val="00AF688D"/>
    <w:rsid w:val="00B20968"/>
    <w:rsid w:val="00BA1CF2"/>
    <w:rsid w:val="00C30706"/>
    <w:rsid w:val="00D47061"/>
    <w:rsid w:val="00D67E19"/>
    <w:rsid w:val="00D85E1B"/>
    <w:rsid w:val="00E47E39"/>
    <w:rsid w:val="00E6430F"/>
    <w:rsid w:val="00F1703B"/>
    <w:rsid w:val="00F52496"/>
    <w:rsid w:val="00F93B8F"/>
    <w:rsid w:val="00FC7355"/>
    <w:rsid w:val="00FD36D3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0A8068-58B3-48AA-AA55-8E2816E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3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3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F1703B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A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hong</cp:lastModifiedBy>
  <cp:revision>2</cp:revision>
  <cp:lastPrinted>2024-01-25T08:20:00Z</cp:lastPrinted>
  <dcterms:created xsi:type="dcterms:W3CDTF">2024-02-07T04:26:00Z</dcterms:created>
  <dcterms:modified xsi:type="dcterms:W3CDTF">2024-02-07T04:26:00Z</dcterms:modified>
</cp:coreProperties>
</file>