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7DBB0" w14:textId="77777777" w:rsidR="003C5146" w:rsidRPr="006F1C3F" w:rsidRDefault="003C5146">
      <w:pPr>
        <w:spacing w:after="0"/>
        <w:jc w:val="center"/>
        <w:rPr>
          <w:rFonts w:ascii="Times New Roman" w:hAnsi="Times New Roman" w:cs="Times New Roman"/>
          <w:b/>
          <w:color w:val="000000"/>
          <w:sz w:val="28"/>
          <w:szCs w:val="28"/>
        </w:rPr>
      </w:pPr>
    </w:p>
    <w:p w14:paraId="1413A6C3" w14:textId="77777777" w:rsidR="0030595C" w:rsidRPr="006F1C3F" w:rsidRDefault="00BA3B01">
      <w:pPr>
        <w:spacing w:after="0"/>
        <w:jc w:val="center"/>
        <w:rPr>
          <w:rFonts w:ascii="Times New Roman" w:hAnsi="Times New Roman" w:cs="Times New Roman"/>
          <w:b/>
          <w:color w:val="000000"/>
          <w:sz w:val="28"/>
          <w:szCs w:val="28"/>
        </w:rPr>
      </w:pPr>
      <w:r w:rsidRPr="006F1C3F">
        <w:rPr>
          <w:rFonts w:ascii="Times New Roman" w:hAnsi="Times New Roman" w:cs="Times New Roman"/>
          <w:b/>
          <w:color w:val="000000"/>
          <w:sz w:val="28"/>
          <w:szCs w:val="28"/>
        </w:rPr>
        <w:t xml:space="preserve">Mẫu số </w:t>
      </w:r>
      <w:r w:rsidR="002E3798" w:rsidRPr="006F1C3F">
        <w:rPr>
          <w:rFonts w:ascii="Times New Roman" w:hAnsi="Times New Roman" w:cs="Times New Roman"/>
          <w:b/>
          <w:color w:val="000000"/>
          <w:sz w:val="28"/>
          <w:szCs w:val="28"/>
        </w:rPr>
        <w:t>04</w:t>
      </w:r>
    </w:p>
    <w:p w14:paraId="50F146AE" w14:textId="77777777" w:rsidR="0030595C" w:rsidRPr="006F1C3F" w:rsidRDefault="00B506FC">
      <w:pPr>
        <w:spacing w:after="0"/>
        <w:jc w:val="center"/>
        <w:rPr>
          <w:rFonts w:ascii="Times New Roman" w:hAnsi="Times New Roman" w:cs="Times New Roman"/>
          <w:b/>
          <w:color w:val="000000"/>
          <w:sz w:val="28"/>
        </w:rPr>
      </w:pPr>
      <w:r w:rsidRPr="006F1C3F">
        <w:rPr>
          <w:rFonts w:ascii="Times New Roman" w:hAnsi="Times New Roman" w:cs="Times New Roman"/>
          <w:b/>
          <w:color w:val="000000"/>
          <w:sz w:val="28"/>
        </w:rPr>
        <w:t xml:space="preserve">DANH MỤC </w:t>
      </w:r>
    </w:p>
    <w:p w14:paraId="533151C2" w14:textId="77777777" w:rsidR="0030595C" w:rsidRPr="006F1C3F" w:rsidRDefault="00B506FC">
      <w:pPr>
        <w:spacing w:after="0"/>
        <w:jc w:val="center"/>
        <w:rPr>
          <w:rFonts w:ascii="Times New Roman" w:hAnsi="Times New Roman" w:cs="Times New Roman"/>
          <w:b/>
          <w:color w:val="000000"/>
          <w:sz w:val="28"/>
        </w:rPr>
      </w:pPr>
      <w:r w:rsidRPr="006F1C3F">
        <w:rPr>
          <w:rFonts w:ascii="Times New Roman" w:hAnsi="Times New Roman" w:cs="Times New Roman"/>
          <w:b/>
          <w:color w:val="000000"/>
          <w:sz w:val="28"/>
        </w:rPr>
        <w:t>Văn bản quy phạm pháp luật hết hiệu lực</w:t>
      </w:r>
      <w:r w:rsidR="00401CB8" w:rsidRPr="006F1C3F">
        <w:rPr>
          <w:rFonts w:ascii="Times New Roman" w:hAnsi="Times New Roman" w:cs="Times New Roman"/>
          <w:b/>
          <w:color w:val="000000"/>
          <w:sz w:val="28"/>
        </w:rPr>
        <w:t xml:space="preserve"> </w:t>
      </w:r>
      <w:r w:rsidR="002E3798" w:rsidRPr="006F1C3F">
        <w:rPr>
          <w:rFonts w:ascii="Times New Roman" w:hAnsi="Times New Roman" w:cs="Times New Roman"/>
          <w:b/>
          <w:color w:val="000000"/>
          <w:sz w:val="28"/>
        </w:rPr>
        <w:t>một phần</w:t>
      </w:r>
      <w:r w:rsidRPr="006F1C3F">
        <w:rPr>
          <w:rFonts w:ascii="Times New Roman" w:hAnsi="Times New Roman" w:cs="Times New Roman"/>
          <w:b/>
          <w:color w:val="000000"/>
          <w:sz w:val="28"/>
        </w:rPr>
        <w:t xml:space="preserve"> thuộc lĩnh vực quản lý nhà nước </w:t>
      </w:r>
    </w:p>
    <w:p w14:paraId="261A636F" w14:textId="77777777" w:rsidR="0030595C" w:rsidRPr="006F1C3F" w:rsidRDefault="00B506FC">
      <w:pPr>
        <w:spacing w:after="0"/>
        <w:jc w:val="center"/>
        <w:rPr>
          <w:rFonts w:ascii="Times New Roman" w:hAnsi="Times New Roman" w:cs="Times New Roman"/>
          <w:b/>
          <w:color w:val="000000"/>
          <w:sz w:val="28"/>
        </w:rPr>
      </w:pPr>
      <w:r w:rsidRPr="006F1C3F">
        <w:rPr>
          <w:rFonts w:ascii="Times New Roman" w:hAnsi="Times New Roman" w:cs="Times New Roman"/>
          <w:b/>
          <w:color w:val="000000"/>
          <w:sz w:val="28"/>
        </w:rPr>
        <w:t xml:space="preserve">của </w:t>
      </w:r>
      <w:r w:rsidR="00947B1A" w:rsidRPr="006F1C3F">
        <w:rPr>
          <w:rFonts w:ascii="Times New Roman" w:hAnsi="Times New Roman" w:cs="Times New Roman"/>
          <w:b/>
          <w:color w:val="000000"/>
          <w:sz w:val="28"/>
        </w:rPr>
        <w:t xml:space="preserve">Hội đồng nhân dân, </w:t>
      </w:r>
      <w:r w:rsidRPr="006F1C3F">
        <w:rPr>
          <w:rFonts w:ascii="Times New Roman" w:hAnsi="Times New Roman" w:cs="Times New Roman"/>
          <w:b/>
          <w:color w:val="000000"/>
          <w:sz w:val="28"/>
        </w:rPr>
        <w:t>Ủy ban nhân dân thành phố Tây Ninh năm 202</w:t>
      </w:r>
      <w:r w:rsidR="00947B1A" w:rsidRPr="006F1C3F">
        <w:rPr>
          <w:rFonts w:ascii="Times New Roman" w:hAnsi="Times New Roman" w:cs="Times New Roman"/>
          <w:b/>
          <w:color w:val="000000"/>
          <w:sz w:val="28"/>
        </w:rPr>
        <w:t>4</w:t>
      </w:r>
    </w:p>
    <w:p w14:paraId="5D6558A3" w14:textId="77777777" w:rsidR="00947B1A" w:rsidRPr="006F1C3F" w:rsidRDefault="00947B1A" w:rsidP="00947B1A">
      <w:pPr>
        <w:spacing w:after="0"/>
        <w:jc w:val="center"/>
        <w:rPr>
          <w:rFonts w:ascii="Times New Roman" w:hAnsi="Times New Roman" w:cs="Times New Roman"/>
          <w:i/>
          <w:color w:val="000000"/>
          <w:sz w:val="26"/>
          <w:szCs w:val="26"/>
        </w:rPr>
      </w:pPr>
      <w:r w:rsidRPr="006F1C3F">
        <w:rPr>
          <w:rFonts w:ascii="Times New Roman" w:hAnsi="Times New Roman" w:cs="Times New Roman"/>
          <w:i/>
          <w:color w:val="000000"/>
          <w:sz w:val="26"/>
          <w:szCs w:val="26"/>
        </w:rPr>
        <w:t>(Kèm theo Quyết định số 1507 /QĐ-UBND ngày 31/12/2024 của Chủ tịch UBND thành phố</w:t>
      </w:r>
      <w:r w:rsidR="00D119DD" w:rsidRPr="006F1C3F">
        <w:rPr>
          <w:rFonts w:ascii="Times New Roman" w:hAnsi="Times New Roman" w:cs="Times New Roman"/>
          <w:i/>
          <w:color w:val="000000"/>
          <w:sz w:val="26"/>
          <w:szCs w:val="26"/>
        </w:rPr>
        <w:t xml:space="preserve"> Tây Ninh</w:t>
      </w:r>
      <w:r w:rsidRPr="006F1C3F">
        <w:rPr>
          <w:rFonts w:ascii="Times New Roman" w:hAnsi="Times New Roman" w:cs="Times New Roman"/>
          <w:i/>
          <w:color w:val="000000"/>
          <w:sz w:val="26"/>
          <w:szCs w:val="26"/>
        </w:rPr>
        <w:t>)</w:t>
      </w:r>
    </w:p>
    <w:p w14:paraId="140651B7" w14:textId="77777777" w:rsidR="003C5146" w:rsidRPr="006F1C3F" w:rsidRDefault="003C5146">
      <w:pPr>
        <w:spacing w:after="0"/>
        <w:jc w:val="center"/>
        <w:rPr>
          <w:rFonts w:ascii="Times New Roman" w:hAnsi="Times New Roman" w:cs="Times New Roman"/>
          <w:b/>
          <w:color w:val="000000"/>
          <w:sz w:val="28"/>
        </w:rPr>
      </w:pPr>
      <w:r w:rsidRPr="006F1C3F">
        <w:rPr>
          <w:rFonts w:ascii="Times New Roman" w:hAnsi="Times New Roman" w:cs="Times New Roman"/>
          <w:i/>
          <w:noProof/>
          <w:color w:val="000000"/>
        </w:rPr>
        <mc:AlternateContent>
          <mc:Choice Requires="wps">
            <w:drawing>
              <wp:anchor distT="0" distB="0" distL="114300" distR="114300" simplePos="0" relativeHeight="251659264" behindDoc="0" locked="0" layoutInCell="1" allowOverlap="1" wp14:anchorId="2F96EE55" wp14:editId="4C41FDA8">
                <wp:simplePos x="0" y="0"/>
                <wp:positionH relativeFrom="margin">
                  <wp:align>center</wp:align>
                </wp:positionH>
                <wp:positionV relativeFrom="paragraph">
                  <wp:posOffset>22225</wp:posOffset>
                </wp:positionV>
                <wp:extent cx="1571625" cy="9525"/>
                <wp:effectExtent l="0" t="0" r="28575" b="28575"/>
                <wp:wrapNone/>
                <wp:docPr id="1" name="Straight Connector 1"/>
                <wp:cNvGraphicFramePr/>
                <a:graphic xmlns:a="http://schemas.openxmlformats.org/drawingml/2006/main">
                  <a:graphicData uri="http://schemas.microsoft.com/office/word/2010/wordprocessingShape">
                    <wps:wsp>
                      <wps:cNvCnPr/>
                      <wps:spPr>
                        <a:xfrm flipV="1">
                          <a:off x="0" y="0"/>
                          <a:ext cx="15716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A27EBDF" id="Straight Connector 1" o:spid="_x0000_s1026" style="position:absolute;flip:y;z-index:251659264;visibility:visible;mso-wrap-style:square;mso-wrap-distance-left:9pt;mso-wrap-distance-top:0;mso-wrap-distance-right:9pt;mso-wrap-distance-bottom:0;mso-position-horizontal:center;mso-position-horizontal-relative:margin;mso-position-vertical:absolute;mso-position-vertical-relative:text" from="0,1.75pt" to="123.7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" strokecolor="black [3040]">
                <w10:wrap anchorx="margin"/>
              </v:line>
            </w:pict>
          </mc:Fallback>
        </mc:AlternateContent>
      </w:r>
    </w:p>
    <w:p w14:paraId="51798D8E" w14:textId="77777777" w:rsidR="0030595C" w:rsidRPr="006F1C3F" w:rsidRDefault="0030595C">
      <w:pPr>
        <w:jc w:val="center"/>
        <w:rPr>
          <w:rFonts w:ascii="Times New Roman" w:hAnsi="Times New Roman" w:cs="Times New Roman"/>
          <w:i/>
          <w:color w:val="000000"/>
        </w:rPr>
      </w:pPr>
    </w:p>
    <w:tbl>
      <w:tblPr>
        <w:tblStyle w:val="TableGrid"/>
        <w:tblW w:w="14668" w:type="dxa"/>
        <w:jc w:val="center"/>
        <w:tblLook w:val="04A0" w:firstRow="1" w:lastRow="0" w:firstColumn="1" w:lastColumn="0" w:noHBand="0" w:noVBand="1"/>
      </w:tblPr>
      <w:tblGrid>
        <w:gridCol w:w="982"/>
        <w:gridCol w:w="1099"/>
        <w:gridCol w:w="3402"/>
        <w:gridCol w:w="5027"/>
        <w:gridCol w:w="2694"/>
        <w:gridCol w:w="1464"/>
      </w:tblGrid>
      <w:tr w:rsidR="0030595C" w:rsidRPr="006F1C3F" w14:paraId="1B65BFE4" w14:textId="77777777" w:rsidTr="00947B1A">
        <w:trPr>
          <w:tblHeader/>
          <w:jc w:val="center"/>
        </w:trPr>
        <w:tc>
          <w:tcPr>
            <w:tcW w:w="982" w:type="dxa"/>
          </w:tcPr>
          <w:p w14:paraId="3F3863A4" w14:textId="77777777" w:rsidR="0030595C" w:rsidRPr="006F1C3F" w:rsidRDefault="00B506FC">
            <w:pPr>
              <w:spacing w:before="120" w:after="120" w:line="240" w:lineRule="auto"/>
              <w:jc w:val="center"/>
              <w:rPr>
                <w:b/>
                <w:bCs/>
                <w:color w:val="000000"/>
                <w:sz w:val="26"/>
                <w:szCs w:val="26"/>
              </w:rPr>
            </w:pPr>
            <w:r w:rsidRPr="006F1C3F">
              <w:rPr>
                <w:b/>
                <w:color w:val="000000"/>
                <w:sz w:val="26"/>
                <w:szCs w:val="26"/>
              </w:rPr>
              <w:t>STT</w:t>
            </w:r>
          </w:p>
        </w:tc>
        <w:tc>
          <w:tcPr>
            <w:tcW w:w="1099" w:type="dxa"/>
          </w:tcPr>
          <w:p w14:paraId="7153695C" w14:textId="77777777" w:rsidR="0030595C" w:rsidRPr="006F1C3F" w:rsidRDefault="00B506FC">
            <w:pPr>
              <w:spacing w:before="120" w:after="120" w:line="240" w:lineRule="auto"/>
              <w:jc w:val="center"/>
              <w:rPr>
                <w:b/>
                <w:bCs/>
                <w:color w:val="000000"/>
                <w:sz w:val="26"/>
                <w:szCs w:val="26"/>
              </w:rPr>
            </w:pPr>
            <w:r w:rsidRPr="006F1C3F">
              <w:rPr>
                <w:b/>
                <w:color w:val="000000"/>
                <w:sz w:val="26"/>
                <w:szCs w:val="26"/>
              </w:rPr>
              <w:t>Tên loại văn bản</w:t>
            </w:r>
          </w:p>
        </w:tc>
        <w:tc>
          <w:tcPr>
            <w:tcW w:w="3402" w:type="dxa"/>
          </w:tcPr>
          <w:p w14:paraId="27FDE602" w14:textId="77777777" w:rsidR="0030595C" w:rsidRPr="006F1C3F" w:rsidRDefault="00B506FC">
            <w:pPr>
              <w:spacing w:before="120" w:after="120" w:line="240" w:lineRule="auto"/>
              <w:jc w:val="center"/>
              <w:rPr>
                <w:b/>
                <w:bCs/>
                <w:color w:val="000000"/>
                <w:sz w:val="26"/>
                <w:szCs w:val="26"/>
              </w:rPr>
            </w:pPr>
            <w:r w:rsidRPr="006F1C3F">
              <w:rPr>
                <w:b/>
                <w:color w:val="000000"/>
                <w:sz w:val="26"/>
                <w:szCs w:val="26"/>
              </w:rPr>
              <w:t>Số, ký hiệu; ngày, tháng, năm ban hành văn bản</w:t>
            </w:r>
            <w:r w:rsidR="002E3798" w:rsidRPr="006F1C3F">
              <w:rPr>
                <w:b/>
                <w:color w:val="000000"/>
                <w:sz w:val="26"/>
                <w:szCs w:val="26"/>
              </w:rPr>
              <w:t>; tên gọi của văn bản</w:t>
            </w:r>
          </w:p>
        </w:tc>
        <w:tc>
          <w:tcPr>
            <w:tcW w:w="5027" w:type="dxa"/>
          </w:tcPr>
          <w:p w14:paraId="526DB0AB" w14:textId="77777777" w:rsidR="0030595C" w:rsidRPr="006F1C3F" w:rsidRDefault="002E3798">
            <w:pPr>
              <w:spacing w:before="120" w:after="120" w:line="240" w:lineRule="auto"/>
              <w:jc w:val="center"/>
              <w:rPr>
                <w:b/>
                <w:bCs/>
                <w:color w:val="000000"/>
                <w:sz w:val="26"/>
                <w:szCs w:val="26"/>
              </w:rPr>
            </w:pPr>
            <w:r w:rsidRPr="006F1C3F">
              <w:rPr>
                <w:b/>
                <w:color w:val="000000"/>
                <w:sz w:val="26"/>
                <w:szCs w:val="26"/>
              </w:rPr>
              <w:t>Nội dung, quy định hết hiệu lực</w:t>
            </w:r>
          </w:p>
        </w:tc>
        <w:tc>
          <w:tcPr>
            <w:tcW w:w="2694" w:type="dxa"/>
          </w:tcPr>
          <w:p w14:paraId="551F7712" w14:textId="77777777" w:rsidR="0030595C" w:rsidRPr="006F1C3F" w:rsidRDefault="00B506FC">
            <w:pPr>
              <w:spacing w:before="120" w:after="120" w:line="240" w:lineRule="auto"/>
              <w:jc w:val="center"/>
              <w:rPr>
                <w:b/>
                <w:bCs/>
                <w:color w:val="000000"/>
                <w:sz w:val="26"/>
                <w:szCs w:val="26"/>
              </w:rPr>
            </w:pPr>
            <w:r w:rsidRPr="006F1C3F">
              <w:rPr>
                <w:b/>
                <w:color w:val="000000"/>
                <w:sz w:val="26"/>
                <w:szCs w:val="26"/>
              </w:rPr>
              <w:t>Lý do hết hiệu lực</w:t>
            </w:r>
          </w:p>
        </w:tc>
        <w:tc>
          <w:tcPr>
            <w:tcW w:w="1464" w:type="dxa"/>
          </w:tcPr>
          <w:p w14:paraId="3327DD68" w14:textId="77777777" w:rsidR="0030595C" w:rsidRPr="006F1C3F" w:rsidRDefault="00B506FC">
            <w:pPr>
              <w:spacing w:before="120" w:after="120" w:line="240" w:lineRule="auto"/>
              <w:jc w:val="center"/>
              <w:rPr>
                <w:b/>
                <w:bCs/>
                <w:color w:val="000000"/>
                <w:sz w:val="26"/>
                <w:szCs w:val="26"/>
              </w:rPr>
            </w:pPr>
            <w:r w:rsidRPr="006F1C3F">
              <w:rPr>
                <w:b/>
                <w:color w:val="000000"/>
                <w:sz w:val="26"/>
                <w:szCs w:val="26"/>
              </w:rPr>
              <w:t>Ngày hết hiệu lực</w:t>
            </w:r>
          </w:p>
        </w:tc>
      </w:tr>
      <w:tr w:rsidR="0030595C" w:rsidRPr="006F1C3F" w14:paraId="7FA51630" w14:textId="77777777" w:rsidTr="00947B1A">
        <w:trPr>
          <w:jc w:val="center"/>
        </w:trPr>
        <w:tc>
          <w:tcPr>
            <w:tcW w:w="982" w:type="dxa"/>
            <w:vAlign w:val="center"/>
          </w:tcPr>
          <w:p w14:paraId="297F50E4" w14:textId="77777777" w:rsidR="0099388E" w:rsidRPr="006F1C3F" w:rsidRDefault="0099388E">
            <w:pPr>
              <w:spacing w:after="0" w:line="240" w:lineRule="auto"/>
              <w:jc w:val="center"/>
              <w:rPr>
                <w:color w:val="000000"/>
                <w:sz w:val="26"/>
                <w:szCs w:val="26"/>
              </w:rPr>
            </w:pPr>
          </w:p>
          <w:p w14:paraId="144F041C" w14:textId="77777777" w:rsidR="00DE6874" w:rsidRPr="006F1C3F" w:rsidRDefault="00DE6874">
            <w:pPr>
              <w:spacing w:after="0" w:line="240" w:lineRule="auto"/>
              <w:jc w:val="center"/>
              <w:rPr>
                <w:color w:val="000000"/>
                <w:sz w:val="26"/>
                <w:szCs w:val="26"/>
              </w:rPr>
            </w:pPr>
          </w:p>
          <w:p w14:paraId="365D7260" w14:textId="77777777" w:rsidR="0030595C" w:rsidRPr="006F1C3F" w:rsidRDefault="0099388E">
            <w:pPr>
              <w:spacing w:after="0" w:line="240" w:lineRule="auto"/>
              <w:jc w:val="center"/>
              <w:rPr>
                <w:color w:val="000000"/>
                <w:sz w:val="26"/>
                <w:szCs w:val="26"/>
              </w:rPr>
            </w:pPr>
            <w:r w:rsidRPr="006F1C3F">
              <w:rPr>
                <w:color w:val="000000"/>
                <w:sz w:val="26"/>
                <w:szCs w:val="26"/>
              </w:rPr>
              <w:t>01</w:t>
            </w:r>
          </w:p>
        </w:tc>
        <w:tc>
          <w:tcPr>
            <w:tcW w:w="1099" w:type="dxa"/>
            <w:vAlign w:val="center"/>
          </w:tcPr>
          <w:p w14:paraId="39F99C4D" w14:textId="77777777" w:rsidR="0099388E" w:rsidRPr="006F1C3F" w:rsidRDefault="0099388E">
            <w:pPr>
              <w:spacing w:after="0" w:line="240" w:lineRule="auto"/>
              <w:jc w:val="center"/>
              <w:rPr>
                <w:color w:val="000000"/>
                <w:sz w:val="26"/>
                <w:szCs w:val="26"/>
              </w:rPr>
            </w:pPr>
          </w:p>
          <w:p w14:paraId="37EDFE21" w14:textId="77777777" w:rsidR="00DE6874" w:rsidRPr="006F1C3F" w:rsidRDefault="00DE6874">
            <w:pPr>
              <w:spacing w:after="0" w:line="240" w:lineRule="auto"/>
              <w:jc w:val="center"/>
              <w:rPr>
                <w:color w:val="000000"/>
                <w:sz w:val="26"/>
                <w:szCs w:val="26"/>
              </w:rPr>
            </w:pPr>
          </w:p>
          <w:p w14:paraId="403B0EC1" w14:textId="77777777" w:rsidR="0030595C" w:rsidRPr="006F1C3F" w:rsidRDefault="00B506FC">
            <w:pPr>
              <w:spacing w:after="0" w:line="240" w:lineRule="auto"/>
              <w:jc w:val="center"/>
              <w:rPr>
                <w:color w:val="000000"/>
                <w:sz w:val="26"/>
                <w:szCs w:val="26"/>
              </w:rPr>
            </w:pPr>
            <w:r w:rsidRPr="006F1C3F">
              <w:rPr>
                <w:color w:val="000000"/>
                <w:sz w:val="26"/>
                <w:szCs w:val="26"/>
              </w:rPr>
              <w:t>Quyết định</w:t>
            </w:r>
          </w:p>
        </w:tc>
        <w:tc>
          <w:tcPr>
            <w:tcW w:w="3402" w:type="dxa"/>
            <w:vAlign w:val="center"/>
          </w:tcPr>
          <w:p w14:paraId="34B1E8FE" w14:textId="77777777" w:rsidR="0099388E" w:rsidRPr="006F1C3F" w:rsidRDefault="0099388E" w:rsidP="0099388E">
            <w:pPr>
              <w:spacing w:after="0" w:line="240" w:lineRule="auto"/>
              <w:jc w:val="both"/>
              <w:rPr>
                <w:bCs/>
                <w:sz w:val="26"/>
                <w:szCs w:val="26"/>
              </w:rPr>
            </w:pPr>
          </w:p>
          <w:p w14:paraId="28441AD0" w14:textId="77777777" w:rsidR="00947B1A" w:rsidRPr="006F1C3F" w:rsidRDefault="00947B1A" w:rsidP="00947B1A">
            <w:pPr>
              <w:spacing w:after="0" w:line="240" w:lineRule="auto"/>
              <w:jc w:val="both"/>
              <w:rPr>
                <w:color w:val="000000"/>
                <w:sz w:val="26"/>
                <w:szCs w:val="26"/>
              </w:rPr>
            </w:pPr>
          </w:p>
          <w:p w14:paraId="57C55C6D" w14:textId="77777777" w:rsidR="0030595C" w:rsidRPr="006F1C3F" w:rsidRDefault="00947B1A" w:rsidP="00947B1A">
            <w:pPr>
              <w:spacing w:after="0" w:line="240" w:lineRule="auto"/>
              <w:jc w:val="both"/>
              <w:rPr>
                <w:color w:val="000000" w:themeColor="text1"/>
                <w:sz w:val="26"/>
                <w:szCs w:val="26"/>
              </w:rPr>
            </w:pPr>
            <w:r w:rsidRPr="006F1C3F">
              <w:rPr>
                <w:color w:val="000000"/>
                <w:sz w:val="26"/>
                <w:szCs w:val="26"/>
              </w:rPr>
              <w:t>số 02/2024/QĐ-UBND ngày 25/4/2024</w:t>
            </w:r>
            <w:r w:rsidR="009A55D5" w:rsidRPr="006F1C3F">
              <w:rPr>
                <w:color w:val="000000"/>
                <w:sz w:val="26"/>
                <w:szCs w:val="26"/>
              </w:rPr>
              <w:t xml:space="preserve"> </w:t>
            </w:r>
            <w:r w:rsidR="009A55D5" w:rsidRPr="006F1C3F">
              <w:rPr>
                <w:color w:val="000000" w:themeColor="text1"/>
                <w:sz w:val="26"/>
                <w:szCs w:val="26"/>
              </w:rPr>
              <w:t xml:space="preserve">của Ủy ban nhân dân thành phố Tây Ninh </w:t>
            </w:r>
            <w:r w:rsidR="009A55D5" w:rsidRPr="006F1C3F">
              <w:rPr>
                <w:bCs/>
                <w:sz w:val="26"/>
                <w:szCs w:val="26"/>
              </w:rPr>
              <w:t xml:space="preserve"> </w:t>
            </w:r>
            <w:r w:rsidR="009A55D5" w:rsidRPr="006F1C3F">
              <w:rPr>
                <w:color w:val="000000"/>
                <w:sz w:val="26"/>
                <w:szCs w:val="26"/>
              </w:rPr>
              <w:t xml:space="preserve">  ban hành Quy định chức năng, nhiệm vụ, quyền hạn và cơ cấu tổ chức của Văn phòng Hội đồng nhân dân và Ủy ban nhân dân thành phố Tây Ninh</w:t>
            </w:r>
            <w:r w:rsidRPr="006F1C3F">
              <w:rPr>
                <w:color w:val="000000"/>
                <w:sz w:val="26"/>
                <w:szCs w:val="26"/>
              </w:rPr>
              <w:t xml:space="preserve"> </w:t>
            </w:r>
          </w:p>
        </w:tc>
        <w:tc>
          <w:tcPr>
            <w:tcW w:w="5027" w:type="dxa"/>
            <w:vAlign w:val="center"/>
          </w:tcPr>
          <w:p w14:paraId="4977AAA6" w14:textId="77777777" w:rsidR="00DE6874" w:rsidRPr="006F1C3F" w:rsidRDefault="00DE6874" w:rsidP="0099388E">
            <w:pPr>
              <w:spacing w:before="120" w:after="120" w:line="240" w:lineRule="auto"/>
              <w:jc w:val="both"/>
              <w:rPr>
                <w:rFonts w:eastAsia="SimSun"/>
                <w:color w:val="000000" w:themeColor="text1"/>
                <w:sz w:val="26"/>
                <w:szCs w:val="26"/>
                <w:lang w:eastAsia="zh-CN"/>
              </w:rPr>
            </w:pPr>
          </w:p>
          <w:p w14:paraId="0EDA6F1C" w14:textId="77777777" w:rsidR="00947B1A" w:rsidRPr="006F1C3F" w:rsidRDefault="00947B1A" w:rsidP="00947B1A">
            <w:pPr>
              <w:spacing w:before="120" w:after="120" w:line="240" w:lineRule="auto"/>
              <w:jc w:val="both"/>
              <w:rPr>
                <w:color w:val="000000"/>
                <w:sz w:val="26"/>
                <w:szCs w:val="26"/>
              </w:rPr>
            </w:pPr>
            <w:r w:rsidRPr="006F1C3F">
              <w:rPr>
                <w:sz w:val="26"/>
                <w:szCs w:val="26"/>
              </w:rPr>
              <w:t>- Sửa đổi, bổ sung k</w:t>
            </w:r>
            <w:r w:rsidRPr="006F1C3F">
              <w:rPr>
                <w:sz w:val="26"/>
                <w:szCs w:val="26"/>
                <w:lang w:val="vi-VN"/>
              </w:rPr>
              <w:t>hoản 2 Điều 1</w:t>
            </w:r>
            <w:r w:rsidRPr="006F1C3F">
              <w:rPr>
                <w:sz w:val="26"/>
                <w:szCs w:val="26"/>
              </w:rPr>
              <w:t xml:space="preserve"> </w:t>
            </w:r>
            <w:r w:rsidR="003C5146" w:rsidRPr="006F1C3F">
              <w:rPr>
                <w:rFonts w:eastAsia="SimSun"/>
                <w:color w:val="000000" w:themeColor="text1"/>
                <w:sz w:val="26"/>
                <w:szCs w:val="26"/>
                <w:lang w:eastAsia="zh-CN"/>
              </w:rPr>
              <w:t xml:space="preserve">của Quy định ban hành kèm theo Quyết định số </w:t>
            </w:r>
            <w:r w:rsidRPr="006F1C3F">
              <w:rPr>
                <w:color w:val="000000"/>
                <w:sz w:val="26"/>
                <w:szCs w:val="26"/>
              </w:rPr>
              <w:t xml:space="preserve">02/2024/QĐ-UBND ngày 25/4/2024 </w:t>
            </w:r>
          </w:p>
          <w:p w14:paraId="6CE53F9D" w14:textId="77777777" w:rsidR="00947B1A" w:rsidRPr="006F1C3F" w:rsidRDefault="00947B1A" w:rsidP="00947B1A">
            <w:pPr>
              <w:spacing w:before="120" w:after="120" w:line="240" w:lineRule="auto"/>
              <w:jc w:val="both"/>
              <w:rPr>
                <w:color w:val="000000"/>
                <w:sz w:val="26"/>
                <w:szCs w:val="26"/>
              </w:rPr>
            </w:pPr>
            <w:r w:rsidRPr="006F1C3F">
              <w:rPr>
                <w:sz w:val="26"/>
                <w:szCs w:val="26"/>
              </w:rPr>
              <w:t>- Bổ sung đ</w:t>
            </w:r>
            <w:r w:rsidRPr="006F1C3F">
              <w:rPr>
                <w:sz w:val="26"/>
                <w:szCs w:val="26"/>
                <w:lang w:val="vi-VN"/>
              </w:rPr>
              <w:t xml:space="preserve">iểm </w:t>
            </w:r>
            <w:r w:rsidRPr="006F1C3F">
              <w:rPr>
                <w:sz w:val="26"/>
                <w:szCs w:val="26"/>
              </w:rPr>
              <w:t>m</w:t>
            </w:r>
            <w:r w:rsidRPr="006F1C3F">
              <w:rPr>
                <w:sz w:val="26"/>
                <w:szCs w:val="26"/>
                <w:lang w:val="vi-VN"/>
              </w:rPr>
              <w:t xml:space="preserve"> khoản 1 Điều 2 </w:t>
            </w:r>
            <w:r w:rsidRPr="006F1C3F">
              <w:rPr>
                <w:rFonts w:eastAsia="SimSun"/>
                <w:color w:val="000000" w:themeColor="text1"/>
                <w:sz w:val="26"/>
                <w:szCs w:val="26"/>
                <w:lang w:eastAsia="zh-CN"/>
              </w:rPr>
              <w:t xml:space="preserve">của Quy định ban hành kèm theo Quyết định số </w:t>
            </w:r>
            <w:r w:rsidRPr="006F1C3F">
              <w:rPr>
                <w:color w:val="000000"/>
                <w:sz w:val="26"/>
                <w:szCs w:val="26"/>
              </w:rPr>
              <w:t xml:space="preserve">02/2024/QĐ-UBND ngày 25/4/2024 </w:t>
            </w:r>
          </w:p>
          <w:p w14:paraId="31C65DF3" w14:textId="77777777" w:rsidR="00947B1A" w:rsidRPr="006F1C3F" w:rsidRDefault="00947B1A" w:rsidP="0099388E">
            <w:pPr>
              <w:spacing w:before="120" w:after="120" w:line="240" w:lineRule="auto"/>
              <w:jc w:val="both"/>
              <w:rPr>
                <w:color w:val="000000"/>
                <w:sz w:val="26"/>
                <w:szCs w:val="26"/>
              </w:rPr>
            </w:pPr>
          </w:p>
        </w:tc>
        <w:tc>
          <w:tcPr>
            <w:tcW w:w="2694" w:type="dxa"/>
            <w:vAlign w:val="center"/>
          </w:tcPr>
          <w:p w14:paraId="220F0D1E" w14:textId="77777777" w:rsidR="00DE6874" w:rsidRPr="006F1C3F" w:rsidRDefault="00DE6874" w:rsidP="00C02A3E">
            <w:pPr>
              <w:spacing w:before="120" w:after="120" w:line="240" w:lineRule="auto"/>
              <w:jc w:val="both"/>
              <w:rPr>
                <w:color w:val="000000" w:themeColor="text1"/>
                <w:sz w:val="26"/>
                <w:szCs w:val="26"/>
              </w:rPr>
            </w:pPr>
          </w:p>
          <w:p w14:paraId="36770992" w14:textId="77777777" w:rsidR="00794813" w:rsidRPr="006F1C3F" w:rsidRDefault="00B506FC" w:rsidP="00947B1A">
            <w:pPr>
              <w:spacing w:before="120" w:after="120" w:line="240" w:lineRule="auto"/>
              <w:jc w:val="both"/>
              <w:rPr>
                <w:bCs/>
                <w:color w:val="000000" w:themeColor="text1"/>
                <w:sz w:val="26"/>
                <w:szCs w:val="26"/>
                <w:lang w:val="vi-VN"/>
              </w:rPr>
            </w:pPr>
            <w:r w:rsidRPr="006F1C3F">
              <w:rPr>
                <w:color w:val="000000" w:themeColor="text1"/>
                <w:sz w:val="26"/>
                <w:szCs w:val="26"/>
              </w:rPr>
              <w:t xml:space="preserve">Bị </w:t>
            </w:r>
            <w:r w:rsidR="00C02A3E" w:rsidRPr="006F1C3F">
              <w:rPr>
                <w:color w:val="000000" w:themeColor="text1"/>
                <w:sz w:val="26"/>
                <w:szCs w:val="26"/>
              </w:rPr>
              <w:t>sửa đổi, bổ sung</w:t>
            </w:r>
            <w:r w:rsidRPr="006F1C3F">
              <w:rPr>
                <w:color w:val="000000" w:themeColor="text1"/>
                <w:sz w:val="26"/>
                <w:szCs w:val="26"/>
              </w:rPr>
              <w:t xml:space="preserve"> bởi </w:t>
            </w:r>
            <w:r w:rsidR="00947B1A" w:rsidRPr="006F1C3F">
              <w:rPr>
                <w:color w:val="000000" w:themeColor="text1"/>
                <w:sz w:val="26"/>
                <w:szCs w:val="26"/>
              </w:rPr>
              <w:t>Quyết định số 04/2024/QĐ-UBND ngày 25/10/2024 s</w:t>
            </w:r>
            <w:r w:rsidR="00947B1A" w:rsidRPr="006F1C3F">
              <w:rPr>
                <w:color w:val="000000" w:themeColor="text1"/>
                <w:sz w:val="26"/>
                <w:szCs w:val="26"/>
                <w:lang w:val="vi-VN"/>
              </w:rPr>
              <w:t xml:space="preserve">ửa đổi, bổ sung </w:t>
            </w:r>
            <w:r w:rsidR="00947B1A" w:rsidRPr="006F1C3F">
              <w:rPr>
                <w:color w:val="000000" w:themeColor="text1"/>
                <w:sz w:val="26"/>
                <w:szCs w:val="26"/>
              </w:rPr>
              <w:t xml:space="preserve">một số điều của </w:t>
            </w:r>
            <w:bookmarkStart w:id="0" w:name="_Hlk82006039"/>
            <w:r w:rsidR="00947B1A" w:rsidRPr="006F1C3F">
              <w:rPr>
                <w:color w:val="000000" w:themeColor="text1"/>
                <w:sz w:val="26"/>
                <w:szCs w:val="26"/>
              </w:rPr>
              <w:t>Quy định chức năng, nhiệm vụ, quyền hạn và cơ cấu tổ chức của Văn phòng Hội đồng nhân dân và Ủy ban nhân dân thành phố Tây Ninh</w:t>
            </w:r>
            <w:r w:rsidR="00947B1A" w:rsidRPr="006F1C3F">
              <w:rPr>
                <w:color w:val="000000" w:themeColor="text1"/>
                <w:sz w:val="26"/>
                <w:szCs w:val="26"/>
                <w:lang w:val="vi-VN"/>
              </w:rPr>
              <w:t xml:space="preserve"> ban hành kèm theo Quyết định số 02/2024/QĐ-UBND ngày 25</w:t>
            </w:r>
            <w:r w:rsidR="00947B1A" w:rsidRPr="006F1C3F">
              <w:rPr>
                <w:color w:val="000000" w:themeColor="text1"/>
                <w:sz w:val="26"/>
                <w:szCs w:val="26"/>
              </w:rPr>
              <w:t>/</w:t>
            </w:r>
            <w:r w:rsidR="00947B1A" w:rsidRPr="006F1C3F">
              <w:rPr>
                <w:color w:val="000000" w:themeColor="text1"/>
                <w:sz w:val="26"/>
                <w:szCs w:val="26"/>
                <w:lang w:val="vi-VN"/>
              </w:rPr>
              <w:t>4</w:t>
            </w:r>
            <w:r w:rsidR="00947B1A" w:rsidRPr="006F1C3F">
              <w:rPr>
                <w:color w:val="000000" w:themeColor="text1"/>
                <w:sz w:val="26"/>
                <w:szCs w:val="26"/>
              </w:rPr>
              <w:t>/</w:t>
            </w:r>
            <w:r w:rsidR="00947B1A" w:rsidRPr="006F1C3F">
              <w:rPr>
                <w:color w:val="000000" w:themeColor="text1"/>
                <w:sz w:val="26"/>
                <w:szCs w:val="26"/>
                <w:lang w:val="vi-VN"/>
              </w:rPr>
              <w:t xml:space="preserve">2024 của </w:t>
            </w:r>
            <w:r w:rsidR="007B72AC" w:rsidRPr="006F1C3F">
              <w:rPr>
                <w:color w:val="000000" w:themeColor="text1"/>
                <w:sz w:val="26"/>
                <w:szCs w:val="26"/>
              </w:rPr>
              <w:t>Ủy ban nhân dân thành phố Tây Ninh</w:t>
            </w:r>
            <w:bookmarkEnd w:id="0"/>
          </w:p>
        </w:tc>
        <w:tc>
          <w:tcPr>
            <w:tcW w:w="1464" w:type="dxa"/>
            <w:vAlign w:val="center"/>
          </w:tcPr>
          <w:p w14:paraId="0FB6FF6F" w14:textId="77777777" w:rsidR="00DE6874" w:rsidRPr="006F1C3F" w:rsidRDefault="00DE6874" w:rsidP="0099388E">
            <w:pPr>
              <w:spacing w:before="120" w:after="120" w:line="240" w:lineRule="auto"/>
              <w:jc w:val="center"/>
              <w:rPr>
                <w:color w:val="000000" w:themeColor="text1"/>
                <w:sz w:val="26"/>
                <w:szCs w:val="26"/>
              </w:rPr>
            </w:pPr>
          </w:p>
          <w:p w14:paraId="7A71ED2F" w14:textId="77777777" w:rsidR="0030595C" w:rsidRPr="006F1C3F" w:rsidRDefault="00947B1A" w:rsidP="0099388E">
            <w:pPr>
              <w:spacing w:before="120" w:after="120" w:line="240" w:lineRule="auto"/>
              <w:jc w:val="center"/>
              <w:rPr>
                <w:color w:val="000000" w:themeColor="text1"/>
                <w:sz w:val="26"/>
                <w:szCs w:val="26"/>
              </w:rPr>
            </w:pPr>
            <w:r w:rsidRPr="006F1C3F">
              <w:rPr>
                <w:color w:val="000000" w:themeColor="text1"/>
                <w:sz w:val="26"/>
                <w:szCs w:val="26"/>
              </w:rPr>
              <w:t>01/11/2024</w:t>
            </w:r>
          </w:p>
        </w:tc>
      </w:tr>
      <w:tr w:rsidR="0030595C" w:rsidRPr="006F1C3F" w14:paraId="728C901E" w14:textId="77777777" w:rsidTr="00947B1A">
        <w:trPr>
          <w:jc w:val="center"/>
        </w:trPr>
        <w:tc>
          <w:tcPr>
            <w:tcW w:w="14668" w:type="dxa"/>
            <w:gridSpan w:val="6"/>
          </w:tcPr>
          <w:p w14:paraId="7B5121DA" w14:textId="77777777" w:rsidR="0030595C" w:rsidRPr="006F1C3F" w:rsidRDefault="00B506FC" w:rsidP="003C5146">
            <w:pPr>
              <w:spacing w:before="120" w:after="120" w:line="240" w:lineRule="auto"/>
              <w:jc w:val="center"/>
              <w:rPr>
                <w:color w:val="000000"/>
                <w:sz w:val="26"/>
                <w:szCs w:val="26"/>
              </w:rPr>
            </w:pPr>
            <w:r w:rsidRPr="006F1C3F">
              <w:rPr>
                <w:b/>
                <w:bCs/>
                <w:color w:val="000000"/>
                <w:sz w:val="26"/>
                <w:szCs w:val="26"/>
              </w:rPr>
              <w:t>Tổng cộng: 0</w:t>
            </w:r>
            <w:r w:rsidR="003C5146" w:rsidRPr="006F1C3F">
              <w:rPr>
                <w:b/>
                <w:bCs/>
                <w:color w:val="000000"/>
                <w:sz w:val="26"/>
                <w:szCs w:val="26"/>
              </w:rPr>
              <w:t>1</w:t>
            </w:r>
            <w:r w:rsidRPr="006F1C3F">
              <w:rPr>
                <w:b/>
                <w:bCs/>
                <w:color w:val="000000"/>
                <w:sz w:val="26"/>
                <w:szCs w:val="26"/>
              </w:rPr>
              <w:t xml:space="preserve"> văn bản quy phạm pháp luật (</w:t>
            </w:r>
            <w:r w:rsidR="00794813" w:rsidRPr="006F1C3F">
              <w:rPr>
                <w:b/>
                <w:bCs/>
                <w:color w:val="000000"/>
                <w:sz w:val="26"/>
                <w:szCs w:val="26"/>
              </w:rPr>
              <w:t>0</w:t>
            </w:r>
            <w:r w:rsidR="003C5146" w:rsidRPr="006F1C3F">
              <w:rPr>
                <w:b/>
                <w:bCs/>
                <w:color w:val="000000"/>
                <w:sz w:val="26"/>
                <w:szCs w:val="26"/>
              </w:rPr>
              <w:t>1</w:t>
            </w:r>
            <w:r w:rsidRPr="006F1C3F">
              <w:rPr>
                <w:b/>
                <w:bCs/>
                <w:color w:val="000000"/>
                <w:sz w:val="26"/>
                <w:szCs w:val="26"/>
              </w:rPr>
              <w:t xml:space="preserve"> Quyết định)</w:t>
            </w:r>
          </w:p>
        </w:tc>
      </w:tr>
    </w:tbl>
    <w:p w14:paraId="1581CCB5" w14:textId="77777777" w:rsidR="0030595C" w:rsidRPr="006F1C3F" w:rsidRDefault="0030595C">
      <w:pPr>
        <w:rPr>
          <w:rFonts w:ascii="Times New Roman" w:hAnsi="Times New Roman" w:cs="Times New Roman"/>
        </w:rPr>
      </w:pPr>
    </w:p>
    <w:sectPr w:rsidR="0030595C" w:rsidRPr="006F1C3F" w:rsidSect="0099388E">
      <w:pgSz w:w="15840" w:h="12240" w:orient="landscape"/>
      <w:pgMar w:top="540" w:right="956" w:bottom="89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E56682" w14:textId="77777777" w:rsidR="003234DF" w:rsidRDefault="003234DF">
      <w:pPr>
        <w:spacing w:line="240" w:lineRule="auto"/>
      </w:pPr>
      <w:r>
        <w:separator/>
      </w:r>
    </w:p>
  </w:endnote>
  <w:endnote w:type="continuationSeparator" w:id="0">
    <w:p w14:paraId="7110A6C0" w14:textId="77777777" w:rsidR="003234DF" w:rsidRDefault="003234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FF53F" w14:textId="77777777" w:rsidR="003234DF" w:rsidRDefault="003234DF">
      <w:pPr>
        <w:spacing w:after="0"/>
      </w:pPr>
      <w:r>
        <w:separator/>
      </w:r>
    </w:p>
  </w:footnote>
  <w:footnote w:type="continuationSeparator" w:id="0">
    <w:p w14:paraId="25B61781" w14:textId="77777777" w:rsidR="003234DF" w:rsidRDefault="003234D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A732A7"/>
    <w:multiLevelType w:val="hybridMultilevel"/>
    <w:tmpl w:val="3934E9AC"/>
    <w:lvl w:ilvl="0" w:tplc="187A4DFC">
      <w:start w:val="1"/>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6267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BBC"/>
    <w:rsid w:val="00022E1D"/>
    <w:rsid w:val="000270B2"/>
    <w:rsid w:val="000610EC"/>
    <w:rsid w:val="000D5362"/>
    <w:rsid w:val="000E52E4"/>
    <w:rsid w:val="000E64A5"/>
    <w:rsid w:val="00133282"/>
    <w:rsid w:val="00150AC1"/>
    <w:rsid w:val="00160E0F"/>
    <w:rsid w:val="00181DF2"/>
    <w:rsid w:val="00183180"/>
    <w:rsid w:val="001911E4"/>
    <w:rsid w:val="001C0564"/>
    <w:rsid w:val="0026007A"/>
    <w:rsid w:val="00277760"/>
    <w:rsid w:val="00277C5A"/>
    <w:rsid w:val="002B03EF"/>
    <w:rsid w:val="002E3798"/>
    <w:rsid w:val="002E5590"/>
    <w:rsid w:val="003035F1"/>
    <w:rsid w:val="0030595C"/>
    <w:rsid w:val="00315C06"/>
    <w:rsid w:val="003234DF"/>
    <w:rsid w:val="00383701"/>
    <w:rsid w:val="003C4839"/>
    <w:rsid w:val="003C5146"/>
    <w:rsid w:val="003C6034"/>
    <w:rsid w:val="00401CB8"/>
    <w:rsid w:val="00432F49"/>
    <w:rsid w:val="004750C5"/>
    <w:rsid w:val="00475507"/>
    <w:rsid w:val="004944CE"/>
    <w:rsid w:val="004B16E7"/>
    <w:rsid w:val="004C463F"/>
    <w:rsid w:val="00506279"/>
    <w:rsid w:val="00551AD2"/>
    <w:rsid w:val="00584F84"/>
    <w:rsid w:val="005A56C5"/>
    <w:rsid w:val="005B0AE8"/>
    <w:rsid w:val="005C405B"/>
    <w:rsid w:val="005C5CD6"/>
    <w:rsid w:val="005D1836"/>
    <w:rsid w:val="006164E2"/>
    <w:rsid w:val="006250C2"/>
    <w:rsid w:val="006747CA"/>
    <w:rsid w:val="006765BF"/>
    <w:rsid w:val="0069542F"/>
    <w:rsid w:val="006A2FCF"/>
    <w:rsid w:val="006A3101"/>
    <w:rsid w:val="006E1FA1"/>
    <w:rsid w:val="006F1C3F"/>
    <w:rsid w:val="006F40C9"/>
    <w:rsid w:val="0070292A"/>
    <w:rsid w:val="00727C7E"/>
    <w:rsid w:val="00754336"/>
    <w:rsid w:val="00755238"/>
    <w:rsid w:val="00772E12"/>
    <w:rsid w:val="00794813"/>
    <w:rsid w:val="00797B1A"/>
    <w:rsid w:val="007A3CC5"/>
    <w:rsid w:val="007B55F2"/>
    <w:rsid w:val="007B72AC"/>
    <w:rsid w:val="007D1F05"/>
    <w:rsid w:val="007D3C30"/>
    <w:rsid w:val="00854A17"/>
    <w:rsid w:val="008C3852"/>
    <w:rsid w:val="009121F1"/>
    <w:rsid w:val="00937919"/>
    <w:rsid w:val="00947B1A"/>
    <w:rsid w:val="009610D7"/>
    <w:rsid w:val="0099388E"/>
    <w:rsid w:val="00993D43"/>
    <w:rsid w:val="009A55D5"/>
    <w:rsid w:val="009B6D88"/>
    <w:rsid w:val="009E30A7"/>
    <w:rsid w:val="009F0B36"/>
    <w:rsid w:val="009F7F2A"/>
    <w:rsid w:val="00A13B1B"/>
    <w:rsid w:val="00A25594"/>
    <w:rsid w:val="00A355E8"/>
    <w:rsid w:val="00A44046"/>
    <w:rsid w:val="00A572A7"/>
    <w:rsid w:val="00AB1105"/>
    <w:rsid w:val="00B35A23"/>
    <w:rsid w:val="00B45B51"/>
    <w:rsid w:val="00B506FC"/>
    <w:rsid w:val="00B64294"/>
    <w:rsid w:val="00B752C0"/>
    <w:rsid w:val="00B868EB"/>
    <w:rsid w:val="00B96560"/>
    <w:rsid w:val="00BA3B01"/>
    <w:rsid w:val="00BB2715"/>
    <w:rsid w:val="00BE4C70"/>
    <w:rsid w:val="00C02A3E"/>
    <w:rsid w:val="00C06D47"/>
    <w:rsid w:val="00C91B8C"/>
    <w:rsid w:val="00C96339"/>
    <w:rsid w:val="00CA3F41"/>
    <w:rsid w:val="00CB1A4B"/>
    <w:rsid w:val="00CC5147"/>
    <w:rsid w:val="00CD0875"/>
    <w:rsid w:val="00CF7696"/>
    <w:rsid w:val="00D119DD"/>
    <w:rsid w:val="00D47597"/>
    <w:rsid w:val="00DA6BBC"/>
    <w:rsid w:val="00DE0239"/>
    <w:rsid w:val="00DE6874"/>
    <w:rsid w:val="00DF40EB"/>
    <w:rsid w:val="00E15C6F"/>
    <w:rsid w:val="00E22B53"/>
    <w:rsid w:val="00E703AA"/>
    <w:rsid w:val="00E76ED5"/>
    <w:rsid w:val="00EC51C4"/>
    <w:rsid w:val="00ED53B1"/>
    <w:rsid w:val="00EE0827"/>
    <w:rsid w:val="00F449AA"/>
    <w:rsid w:val="00F766CA"/>
    <w:rsid w:val="00FC13E4"/>
    <w:rsid w:val="00FF2E1A"/>
    <w:rsid w:val="4796550B"/>
    <w:rsid w:val="490A5F74"/>
    <w:rsid w:val="71145D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E254C7E"/>
  <w15:docId w15:val="{8301E936-4514-4673-836B-70641E164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qFormat/>
    <w:rsid w:val="0099388E"/>
    <w:rPr>
      <w:rFonts w:ascii="Times New Roman" w:hAnsi="Times New Roman" w:cs="Times New Roman" w:hint="default"/>
      <w:b/>
      <w:bCs/>
      <w:color w:val="000000"/>
      <w:sz w:val="28"/>
      <w:szCs w:val="28"/>
    </w:rPr>
  </w:style>
  <w:style w:type="paragraph" w:styleId="ListParagraph">
    <w:name w:val="List Paragraph"/>
    <w:basedOn w:val="Normal"/>
    <w:uiPriority w:val="99"/>
    <w:rsid w:val="00947B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902732C2-2F0F-4BD3-BBBC-2DDDAD68693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191</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uyen</dc:creator>
  <cp:lastModifiedBy>Admin</cp:lastModifiedBy>
  <cp:revision>10</cp:revision>
  <cp:lastPrinted>2021-01-28T00:50:00Z</cp:lastPrinted>
  <dcterms:created xsi:type="dcterms:W3CDTF">2024-01-17T01:31:00Z</dcterms:created>
  <dcterms:modified xsi:type="dcterms:W3CDTF">2025-01-04T10:12:00Z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ICV">
    <vt:lpwstr>65F94F187211432E8FB5D096D892BB6F</vt:lpwstr>
  </property>
</Properties>
</file>